
<file path=[Content_Types].xml><?xml version="1.0" encoding="utf-8"?>
<Types xmlns="http://schemas.openxmlformats.org/package/2006/content-types">
  <Default Extension="vsd" ContentType="application/vnd.visio"/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10E" w:rsidRDefault="0007110E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07110E" w:rsidRDefault="0007110E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336B53" w:rsidRDefault="00555932" w:rsidP="00B479E5">
      <w:pPr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УТВЕРЖДАЮ</w:t>
      </w:r>
    </w:p>
    <w:p w:rsidR="00555932" w:rsidRDefault="00555932" w:rsidP="00B479E5">
      <w:pPr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Генеральный директор ОАО «ВОЭК»</w:t>
      </w:r>
    </w:p>
    <w:p w:rsidR="00555932" w:rsidRDefault="00555932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555932" w:rsidRDefault="00555932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555932" w:rsidRDefault="00555932" w:rsidP="00B479E5">
      <w:pPr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______________________Н.Б. Голенкевич</w:t>
      </w:r>
    </w:p>
    <w:p w:rsidR="00555932" w:rsidRDefault="00555932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336B53" w:rsidRDefault="00336B53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336B53" w:rsidRDefault="00336B53" w:rsidP="00B479E5">
      <w:pPr>
        <w:jc w:val="right"/>
        <w:rPr>
          <w:rFonts w:ascii="Arial" w:hAnsi="Arial" w:cs="Arial"/>
          <w:b/>
          <w:i/>
          <w:sz w:val="20"/>
          <w:szCs w:val="20"/>
        </w:rPr>
      </w:pPr>
    </w:p>
    <w:p w:rsidR="00B904CC" w:rsidRPr="00B904CC" w:rsidRDefault="00B904CC" w:rsidP="00B479E5">
      <w:pPr>
        <w:jc w:val="right"/>
        <w:rPr>
          <w:rFonts w:ascii="Arial" w:hAnsi="Arial" w:cs="Arial"/>
          <w:b/>
          <w:i/>
          <w:sz w:val="20"/>
          <w:szCs w:val="20"/>
        </w:rPr>
      </w:pPr>
      <w:r w:rsidRPr="00B904CC">
        <w:rPr>
          <w:rFonts w:ascii="Arial" w:hAnsi="Arial" w:cs="Arial"/>
          <w:b/>
          <w:i/>
          <w:sz w:val="20"/>
          <w:szCs w:val="20"/>
        </w:rPr>
        <w:t xml:space="preserve">Приложение № </w:t>
      </w:r>
      <w:r w:rsidR="0083384D">
        <w:rPr>
          <w:rFonts w:ascii="Arial" w:hAnsi="Arial" w:cs="Arial"/>
          <w:b/>
          <w:i/>
          <w:sz w:val="20"/>
          <w:szCs w:val="20"/>
        </w:rPr>
        <w:t>1</w:t>
      </w:r>
    </w:p>
    <w:p w:rsidR="00B904CC" w:rsidRPr="00B904CC" w:rsidRDefault="0083384D" w:rsidP="00B479E5">
      <w:pPr>
        <w:jc w:val="right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к </w:t>
      </w:r>
      <w:r w:rsidR="00B904CC" w:rsidRPr="00B904CC">
        <w:rPr>
          <w:rFonts w:ascii="Arial" w:hAnsi="Arial" w:cs="Arial"/>
          <w:b/>
          <w:i/>
          <w:sz w:val="20"/>
          <w:szCs w:val="20"/>
        </w:rPr>
        <w:t xml:space="preserve">Приказу № </w:t>
      </w:r>
      <w:r>
        <w:rPr>
          <w:rFonts w:ascii="Arial" w:hAnsi="Arial" w:cs="Arial"/>
          <w:b/>
          <w:i/>
          <w:sz w:val="20"/>
          <w:szCs w:val="20"/>
        </w:rPr>
        <w:t>89</w:t>
      </w:r>
      <w:r w:rsidR="00B904CC" w:rsidRPr="00B904CC">
        <w:rPr>
          <w:rFonts w:ascii="Arial" w:hAnsi="Arial" w:cs="Arial"/>
          <w:b/>
          <w:i/>
          <w:sz w:val="20"/>
          <w:szCs w:val="20"/>
        </w:rPr>
        <w:t xml:space="preserve"> от </w:t>
      </w:r>
      <w:r>
        <w:rPr>
          <w:rFonts w:ascii="Arial" w:hAnsi="Arial" w:cs="Arial"/>
          <w:b/>
          <w:i/>
          <w:sz w:val="20"/>
          <w:szCs w:val="20"/>
        </w:rPr>
        <w:t>17.03.2015г.</w:t>
      </w: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Pr="0008644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Требования</w:t>
      </w:r>
      <w:r w:rsidRPr="0008644C">
        <w:rPr>
          <w:rFonts w:ascii="Arial" w:hAnsi="Arial" w:cs="Arial"/>
          <w:b/>
          <w:sz w:val="28"/>
          <w:szCs w:val="28"/>
        </w:rPr>
        <w:t xml:space="preserve"> по организации учета электрической энергии </w:t>
      </w: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  <w:r w:rsidRPr="0008644C">
        <w:rPr>
          <w:rFonts w:ascii="Arial" w:hAnsi="Arial" w:cs="Arial"/>
          <w:b/>
          <w:sz w:val="28"/>
          <w:szCs w:val="28"/>
        </w:rPr>
        <w:t xml:space="preserve">на объектах заявителей при осуществлении технологического присоединения к электрическим сетям ОАО «ВОЭК» энергопринимающих устройств заявителей </w:t>
      </w: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904CC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07110E" w:rsidRDefault="0007110E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07110E" w:rsidRDefault="0007110E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07110E" w:rsidRDefault="0007110E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C57F51" w:rsidRDefault="00C57F51" w:rsidP="00B479E5">
      <w:pPr>
        <w:jc w:val="center"/>
        <w:rPr>
          <w:rFonts w:ascii="Arial" w:hAnsi="Arial" w:cs="Arial"/>
          <w:b/>
          <w:sz w:val="28"/>
          <w:szCs w:val="28"/>
        </w:rPr>
      </w:pPr>
    </w:p>
    <w:p w:rsidR="00B904CC" w:rsidRDefault="00B479E5" w:rsidP="00B47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г. Владимир</w:t>
      </w:r>
    </w:p>
    <w:p w:rsidR="00B479E5" w:rsidRDefault="00B479E5" w:rsidP="00B47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201</w:t>
      </w:r>
      <w:r w:rsidR="0083384D">
        <w:rPr>
          <w:rFonts w:ascii="Arial" w:hAnsi="Arial" w:cs="Arial"/>
          <w:b/>
          <w:sz w:val="28"/>
          <w:szCs w:val="28"/>
        </w:rPr>
        <w:t>5</w:t>
      </w:r>
      <w:bookmarkStart w:id="0" w:name="_GoBack"/>
      <w:bookmarkEnd w:id="0"/>
    </w:p>
    <w:p w:rsidR="00B904CC" w:rsidRDefault="00B904CC" w:rsidP="00FE5211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lastRenderedPageBreak/>
        <w:t>Термины и определения</w:t>
      </w:r>
    </w:p>
    <w:p w:rsidR="00FE5211" w:rsidRPr="0008644C" w:rsidRDefault="00FE5211" w:rsidP="00FE5211">
      <w:pPr>
        <w:autoSpaceDE w:val="0"/>
        <w:autoSpaceDN w:val="0"/>
        <w:adjustRightInd w:val="0"/>
        <w:spacing w:line="360" w:lineRule="auto"/>
        <w:ind w:left="360"/>
        <w:rPr>
          <w:rFonts w:ascii="Arial" w:hAnsi="Arial" w:cs="Arial"/>
          <w:b/>
          <w:sz w:val="20"/>
          <w:szCs w:val="20"/>
        </w:rPr>
      </w:pP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 xml:space="preserve">Прибор учета </w:t>
      </w:r>
      <w:r>
        <w:rPr>
          <w:rFonts w:ascii="Arial" w:hAnsi="Arial" w:cs="Arial"/>
          <w:b/>
          <w:sz w:val="20"/>
          <w:szCs w:val="20"/>
        </w:rPr>
        <w:t>электрической энергии</w:t>
      </w:r>
      <w:r w:rsidRPr="0008644C">
        <w:rPr>
          <w:rFonts w:ascii="Arial" w:hAnsi="Arial" w:cs="Arial"/>
          <w:sz w:val="20"/>
          <w:szCs w:val="20"/>
        </w:rPr>
        <w:t xml:space="preserve"> – средство измерения, используемое для определения объемов (количества) потребления (производства, передачи) электрической энергии потребителями.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>Интегральный прибор учета</w:t>
      </w:r>
      <w:r w:rsidRPr="0008644C">
        <w:rPr>
          <w:rFonts w:ascii="Arial" w:hAnsi="Arial" w:cs="Arial"/>
          <w:sz w:val="20"/>
          <w:szCs w:val="20"/>
        </w:rPr>
        <w:t xml:space="preserve"> – прибор учета, обеспечивающий учет электрической энергии суммарно по состоянию на определенный момент времени.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08644C">
        <w:rPr>
          <w:rFonts w:ascii="Arial" w:hAnsi="Arial" w:cs="Arial"/>
          <w:b/>
          <w:sz w:val="20"/>
          <w:szCs w:val="20"/>
        </w:rPr>
        <w:t>Измерительный комплекс</w:t>
      </w:r>
      <w:r w:rsidRPr="0008644C">
        <w:rPr>
          <w:rFonts w:ascii="Arial" w:hAnsi="Arial" w:cs="Arial"/>
          <w:sz w:val="20"/>
          <w:szCs w:val="20"/>
        </w:rPr>
        <w:t xml:space="preserve"> – совокупность приборов учета и измерительных трансформаторов тока и (или) напряжения, соединенных между собой по установленной схеме, через которые такие приборы учета установлены (подключены) (далее - измерительные трансформаторы), предназначенная для измерения объемов электрической энергии (мощности) в одной точке поставки.</w:t>
      </w:r>
      <w:proofErr w:type="gramEnd"/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>Система учета</w:t>
      </w:r>
      <w:r w:rsidRPr="0008644C">
        <w:rPr>
          <w:rFonts w:ascii="Arial" w:hAnsi="Arial" w:cs="Arial"/>
          <w:sz w:val="20"/>
          <w:szCs w:val="20"/>
        </w:rPr>
        <w:t xml:space="preserve"> – совокупность измерительных комплексов, связующих и вычислительных компонентов, устрой</w:t>
      </w:r>
      <w:proofErr w:type="gramStart"/>
      <w:r w:rsidRPr="0008644C">
        <w:rPr>
          <w:rFonts w:ascii="Arial" w:hAnsi="Arial" w:cs="Arial"/>
          <w:sz w:val="20"/>
          <w:szCs w:val="20"/>
        </w:rPr>
        <w:t>ств сб</w:t>
      </w:r>
      <w:proofErr w:type="gramEnd"/>
      <w:r w:rsidRPr="0008644C">
        <w:rPr>
          <w:rFonts w:ascii="Arial" w:hAnsi="Arial" w:cs="Arial"/>
          <w:sz w:val="20"/>
          <w:szCs w:val="20"/>
        </w:rPr>
        <w:t>ора и передачи данных, программных средств, предназначенная для измерения, хранения, удаленного сбора и передачи показаний приборов учета по одной и более точек поставки.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>Субъекты розничных рынков</w:t>
      </w:r>
      <w:r w:rsidRPr="0008644C">
        <w:rPr>
          <w:rFonts w:ascii="Arial" w:hAnsi="Arial" w:cs="Arial"/>
          <w:sz w:val="20"/>
          <w:szCs w:val="20"/>
        </w:rPr>
        <w:t xml:space="preserve"> – участники отношений по производству, передаче, купле-продаже (поставке) и потреблению электрической энергии (мощности) на розничных рынках электрической энергии (далее - розничные рынки), а также по оказанию услуг, которые являются неотъемлемой частью процесса поставки электрической энергии потребителям.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08644C">
        <w:rPr>
          <w:rFonts w:ascii="Arial" w:hAnsi="Arial" w:cs="Arial"/>
          <w:b/>
          <w:sz w:val="20"/>
          <w:szCs w:val="20"/>
        </w:rPr>
        <w:t>Граница балансовой принадлежности</w:t>
      </w:r>
      <w:r w:rsidRPr="0008644C">
        <w:rPr>
          <w:rFonts w:ascii="Arial" w:hAnsi="Arial" w:cs="Arial"/>
          <w:sz w:val="20"/>
          <w:szCs w:val="20"/>
        </w:rPr>
        <w:t xml:space="preserve"> -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основании, определяющая границу эксплуатационной ответственности между сетевой организацией и потребителем услуг по передаче электрической энергии (потребителем электрической энергии, в интересах которого заключается договор об оказании услуг по передаче электрической энергии) за состояние и обслуживание электроустановок;</w:t>
      </w:r>
      <w:proofErr w:type="gramEnd"/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>Потребитель</w:t>
      </w:r>
      <w:r w:rsidRPr="0008644C">
        <w:rPr>
          <w:rFonts w:ascii="Arial" w:hAnsi="Arial" w:cs="Arial"/>
          <w:sz w:val="20"/>
          <w:szCs w:val="20"/>
        </w:rPr>
        <w:t xml:space="preserve"> - потребитель электрической энергии, приобретающий электрическую энергию (мощность) для собственных бытовых и (или) производственных нужд;</w:t>
      </w:r>
    </w:p>
    <w:p w:rsidR="00FE5211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proofErr w:type="gramStart"/>
      <w:r w:rsidRPr="0008644C">
        <w:rPr>
          <w:rFonts w:ascii="Arial" w:hAnsi="Arial" w:cs="Arial"/>
          <w:sz w:val="20"/>
          <w:szCs w:val="20"/>
        </w:rPr>
        <w:t>Потребителями услуг по передаче электрической энергии являются лица, владеющие на праве собственности или на ином законном основании энергопринимающими устройствами и (или) объектами электроэнергетики, технологически присоединенные в установленном порядке к электрической сети (в том числе опосредованно) субъекты оптового рынка электрической энергии, осуществляющие экспорт (импорт) электрической энергии, а также энергосбытовые организации и гарантирующие поставщики в интересах обслуживаемых ими потребителей электрической энергии (с</w:t>
      </w:r>
      <w:proofErr w:type="gramEnd"/>
      <w:r w:rsidRPr="0008644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8644C">
        <w:rPr>
          <w:rFonts w:ascii="Arial" w:hAnsi="Arial" w:cs="Arial"/>
          <w:sz w:val="20"/>
          <w:szCs w:val="20"/>
        </w:rPr>
        <w:t>1 января 2013 г. -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энергии, обслуживаемого энергосбытовой организацией и гарантирующим поставщиком).</w:t>
      </w:r>
      <w:proofErr w:type="gramEnd"/>
    </w:p>
    <w:p w:rsidR="00FE5211" w:rsidRDefault="00FE5211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FE5211" w:rsidRDefault="00FE5211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B904CC" w:rsidRDefault="00B904CC" w:rsidP="00FE5211">
      <w:pPr>
        <w:numPr>
          <w:ilvl w:val="0"/>
          <w:numId w:val="6"/>
        </w:num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lastRenderedPageBreak/>
        <w:t>Общие положения</w:t>
      </w:r>
    </w:p>
    <w:p w:rsidR="00FE5211" w:rsidRPr="0008644C" w:rsidRDefault="00FE5211" w:rsidP="00FE5211">
      <w:pPr>
        <w:autoSpaceDE w:val="0"/>
        <w:autoSpaceDN w:val="0"/>
        <w:adjustRightInd w:val="0"/>
        <w:ind w:left="720"/>
        <w:rPr>
          <w:rFonts w:ascii="Arial" w:hAnsi="Arial" w:cs="Arial"/>
          <w:b/>
          <w:sz w:val="20"/>
          <w:szCs w:val="20"/>
        </w:rPr>
      </w:pP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>Определение объема потребления (производства) электрической энергии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(мощности) на розничных рынках, оказанных услуг по передаче электрической энергии, а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также фактических потерь электрической энергии в объектах электросетевого хозяйства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осуществляется на основании данных, полученных: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● с использованием приборов учета электрической энергии, в том числе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включенных в состав измерительных комплексов, систем учета;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● при отсутствии приборов учета - путем применения расчетных способов,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предусмотренных «</w:t>
      </w:r>
      <w:r>
        <w:rPr>
          <w:rFonts w:ascii="Arial" w:hAnsi="Arial" w:cs="Arial"/>
          <w:sz w:val="20"/>
          <w:szCs w:val="20"/>
        </w:rPr>
        <w:t>Основными</w:t>
      </w:r>
      <w:r w:rsidRPr="0008644C">
        <w:rPr>
          <w:rFonts w:ascii="Arial" w:hAnsi="Arial" w:cs="Arial"/>
          <w:sz w:val="20"/>
          <w:szCs w:val="20"/>
        </w:rPr>
        <w:t xml:space="preserve"> положениями функционирования розничных рынков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электрической энергии», утверждѐнными постановлением Правительства РФ №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442 от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04</w:t>
      </w:r>
      <w:r>
        <w:rPr>
          <w:rFonts w:ascii="Arial" w:hAnsi="Arial" w:cs="Arial"/>
          <w:sz w:val="20"/>
          <w:szCs w:val="20"/>
        </w:rPr>
        <w:t>.</w:t>
      </w:r>
      <w:r w:rsidRPr="0008644C">
        <w:rPr>
          <w:rFonts w:ascii="Arial" w:hAnsi="Arial" w:cs="Arial"/>
          <w:sz w:val="20"/>
          <w:szCs w:val="20"/>
        </w:rPr>
        <w:t>05.2012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г. (далее по тексту – ПП РФ №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442).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>Обязанность по обеспечению оснащения энергопринимающих устройств</w:t>
      </w:r>
      <w:r>
        <w:rPr>
          <w:rFonts w:ascii="Arial" w:hAnsi="Arial" w:cs="Arial"/>
          <w:sz w:val="20"/>
          <w:szCs w:val="20"/>
        </w:rPr>
        <w:t xml:space="preserve"> потребителей </w:t>
      </w:r>
      <w:r w:rsidRPr="0008644C">
        <w:rPr>
          <w:rFonts w:ascii="Arial" w:hAnsi="Arial" w:cs="Arial"/>
          <w:sz w:val="20"/>
          <w:szCs w:val="20"/>
        </w:rPr>
        <w:t>на розничных рынках, объектов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электросетевого хозяйства сетевых организаций приборами учета, а также по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обеспечению допуска установленных приборов учета в эксплуатацию возлагается на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собственника энергопринимающих устройств</w:t>
      </w:r>
      <w:r>
        <w:rPr>
          <w:rFonts w:ascii="Arial" w:hAnsi="Arial" w:cs="Arial"/>
          <w:sz w:val="20"/>
          <w:szCs w:val="20"/>
        </w:rPr>
        <w:t>.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>Обязанность по обеспечению эксплуатации установленного и допущенного в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эксплуатацию прибора учета, сохранности и целостности прибора учета, а также пломб и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(или) знаков визуального контроля, снятию и хранению его показаний, своевременной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замене возлагается на собственника такого прибора учета. Если прибор учета входит в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состав измерительного комплекса или системы учета, то собственник прибора учета несет</w:t>
      </w:r>
      <w:r>
        <w:rPr>
          <w:rFonts w:ascii="Arial" w:hAnsi="Arial" w:cs="Arial"/>
          <w:sz w:val="20"/>
          <w:szCs w:val="20"/>
        </w:rPr>
        <w:t xml:space="preserve"> </w:t>
      </w:r>
      <w:r w:rsidRPr="0008644C">
        <w:rPr>
          <w:rFonts w:ascii="Arial" w:hAnsi="Arial" w:cs="Arial"/>
          <w:sz w:val="20"/>
          <w:szCs w:val="20"/>
        </w:rPr>
        <w:t>обязанность по обеспечению поверки измерительных трансформаторов.</w:t>
      </w:r>
      <w:r>
        <w:rPr>
          <w:rFonts w:ascii="Arial" w:hAnsi="Arial" w:cs="Arial"/>
          <w:sz w:val="20"/>
          <w:szCs w:val="20"/>
        </w:rPr>
        <w:t xml:space="preserve"> 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D3D96">
        <w:rPr>
          <w:rFonts w:ascii="Arial" w:hAnsi="Arial" w:cs="Arial"/>
          <w:sz w:val="20"/>
          <w:szCs w:val="20"/>
        </w:rPr>
        <w:t xml:space="preserve">Установленные приборы учета </w:t>
      </w:r>
      <w:r>
        <w:rPr>
          <w:rFonts w:ascii="Arial" w:hAnsi="Arial" w:cs="Arial"/>
          <w:sz w:val="20"/>
          <w:szCs w:val="20"/>
        </w:rPr>
        <w:t>электрической энергии</w:t>
      </w:r>
      <w:r w:rsidRPr="009D3D96">
        <w:rPr>
          <w:rFonts w:ascii="Arial" w:hAnsi="Arial" w:cs="Arial"/>
          <w:sz w:val="20"/>
          <w:szCs w:val="20"/>
        </w:rPr>
        <w:t xml:space="preserve"> должны быть допущены в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эксплуатацию. Под допуском понимается процедура, в ходе которой определяется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готовность прибора учета, в том числе входящего в состав измерительного комплекса или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системы учета, к его использованию при осуществлении расчетов за электрическую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энергию (мощность). В ходе процедуры допуска проверке подлежат место установки и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схема подключения, состояние прибора учета и измерительных трансформаторов (при их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наличии), а также соответствие метрологических характеристик.</w:t>
      </w:r>
      <w:r>
        <w:rPr>
          <w:rFonts w:ascii="Arial" w:hAnsi="Arial" w:cs="Arial"/>
          <w:sz w:val="20"/>
          <w:szCs w:val="20"/>
        </w:rPr>
        <w:t xml:space="preserve"> Допуск установленного прибора учета в эксплуатацию должен быть  осуществлен не позднее месяца, следующего за датой его установки.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D3D96">
        <w:rPr>
          <w:rFonts w:ascii="Arial" w:hAnsi="Arial" w:cs="Arial"/>
          <w:sz w:val="20"/>
          <w:szCs w:val="20"/>
        </w:rPr>
        <w:t>По окончании проверки на крышки зажимов прибора учета (испытательной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коробки, вторичных обмоток трансформаторов тока и т.д.) устанавливается контрольная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одноразовая номерная пломба (контрольная пломба) и (или) знаки визуального контроля.</w:t>
      </w:r>
      <w:r>
        <w:rPr>
          <w:rFonts w:ascii="Arial" w:hAnsi="Arial" w:cs="Arial"/>
          <w:sz w:val="20"/>
          <w:szCs w:val="20"/>
        </w:rPr>
        <w:t xml:space="preserve"> 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Собственник прибора учета обязан обеспечить проведение в порядке, установленном законодательством Российской Федерации об обеспечении единства измерений, периодических проверок приборов учета, а если прибор учета установлен (подключен) через измерительные трансформаторы – то также и периодических проверок таких измерительных трансформаторов. Периодическая поверка прибора учета, измерительных трансформаторов должна проводиться по </w:t>
      </w:r>
      <w:r>
        <w:rPr>
          <w:rFonts w:ascii="Arial" w:hAnsi="Arial" w:cs="Arial"/>
          <w:sz w:val="20"/>
          <w:szCs w:val="20"/>
        </w:rPr>
        <w:lastRenderedPageBreak/>
        <w:t>истечении межповерочного интервала, установленного для данного типа прибора учета, измерительного трансформатора в соответствии с законодательством Российской Федерации об обеспечении единства измерений. Результаты поверки прибора учета удостоверяются знаком поверки (</w:t>
      </w:r>
      <w:proofErr w:type="spellStart"/>
      <w:r>
        <w:rPr>
          <w:rFonts w:ascii="Arial" w:hAnsi="Arial" w:cs="Arial"/>
          <w:sz w:val="20"/>
          <w:szCs w:val="20"/>
        </w:rPr>
        <w:t>поверительным</w:t>
      </w:r>
      <w:proofErr w:type="spellEnd"/>
      <w:r>
        <w:rPr>
          <w:rFonts w:ascii="Arial" w:hAnsi="Arial" w:cs="Arial"/>
          <w:sz w:val="20"/>
          <w:szCs w:val="20"/>
        </w:rPr>
        <w:t xml:space="preserve"> клеймом) и (или) свидетельством о поверке. После проведения поверки прибора учета такой прибор учета должен быть установлен и допущен в эксплуатацию в порядке, предусмотренном ПП РФ № 442.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D3D96">
        <w:rPr>
          <w:rFonts w:ascii="Arial" w:hAnsi="Arial" w:cs="Arial"/>
          <w:sz w:val="20"/>
          <w:szCs w:val="20"/>
        </w:rPr>
        <w:t xml:space="preserve">Требования к приборам контрольного учета </w:t>
      </w:r>
      <w:r>
        <w:rPr>
          <w:rFonts w:ascii="Arial" w:hAnsi="Arial" w:cs="Arial"/>
          <w:sz w:val="20"/>
          <w:szCs w:val="20"/>
        </w:rPr>
        <w:t>электрической энергии,</w:t>
      </w:r>
      <w:r w:rsidRPr="009D3D96">
        <w:rPr>
          <w:rFonts w:ascii="Arial" w:hAnsi="Arial" w:cs="Arial"/>
          <w:sz w:val="20"/>
          <w:szCs w:val="20"/>
        </w:rPr>
        <w:t xml:space="preserve"> их метрологическим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характеристикам, схемам включения, местам установки, приемки в эксплуатацию такие</w:t>
      </w:r>
      <w:r>
        <w:rPr>
          <w:rFonts w:ascii="Arial" w:hAnsi="Arial" w:cs="Arial"/>
          <w:sz w:val="20"/>
          <w:szCs w:val="20"/>
        </w:rPr>
        <w:t xml:space="preserve"> </w:t>
      </w:r>
      <w:r w:rsidRPr="009D3D96">
        <w:rPr>
          <w:rFonts w:ascii="Arial" w:hAnsi="Arial" w:cs="Arial"/>
          <w:sz w:val="20"/>
          <w:szCs w:val="20"/>
        </w:rPr>
        <w:t>же, как и к приборам расчетного учета.</w:t>
      </w:r>
    </w:p>
    <w:p w:rsidR="00B904CC" w:rsidRPr="009D3D96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04CC" w:rsidRDefault="00B904CC" w:rsidP="00FE5211">
      <w:pPr>
        <w:pStyle w:val="ad"/>
        <w:numPr>
          <w:ilvl w:val="0"/>
          <w:numId w:val="6"/>
        </w:num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>Требования к расчетным счетчикам электрической энергии</w:t>
      </w:r>
    </w:p>
    <w:p w:rsidR="00FE5211" w:rsidRPr="0008644C" w:rsidRDefault="00FE5211" w:rsidP="00FE5211">
      <w:pPr>
        <w:pStyle w:val="ad"/>
        <w:spacing w:after="0" w:line="360" w:lineRule="auto"/>
        <w:rPr>
          <w:rFonts w:ascii="Arial" w:hAnsi="Arial" w:cs="Arial"/>
          <w:sz w:val="20"/>
          <w:szCs w:val="20"/>
        </w:rPr>
      </w:pPr>
    </w:p>
    <w:p w:rsidR="00B904CC" w:rsidRPr="0008644C" w:rsidRDefault="00B904CC" w:rsidP="00B479E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>Для учета электрической энергии используются приборы учета, типы которых утверждены федеральным органом исполнительной власти по техническому регулированию и метрологии и внесены в государственный реестр средств измерений.</w:t>
      </w:r>
    </w:p>
    <w:p w:rsidR="00B904CC" w:rsidRPr="0008644C" w:rsidRDefault="00B904CC" w:rsidP="00B479E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>Технические параметры и метрологические характеристики счётчиков электрической энергии должны соответствовать требованиям</w:t>
      </w:r>
      <w:hyperlink r:id="rId8" w:history="1">
        <w:r w:rsidRPr="0008644C">
          <w:rPr>
            <w:rFonts w:ascii="Arial" w:hAnsi="Arial" w:cs="Arial"/>
            <w:sz w:val="20"/>
            <w:szCs w:val="20"/>
          </w:rPr>
          <w:t xml:space="preserve"> ГОСТ 52320-2005 </w:t>
        </w:r>
      </w:hyperlink>
      <w:r w:rsidRPr="0008644C">
        <w:rPr>
          <w:rFonts w:ascii="Arial" w:hAnsi="Arial" w:cs="Arial"/>
          <w:sz w:val="20"/>
          <w:szCs w:val="20"/>
        </w:rPr>
        <w:t xml:space="preserve">Часть 11 «Счетчики электрической энергии», </w:t>
      </w:r>
      <w:hyperlink r:id="rId9" w:history="1">
        <w:r w:rsidRPr="0008644C">
          <w:rPr>
            <w:rFonts w:ascii="Arial" w:hAnsi="Arial" w:cs="Arial"/>
            <w:sz w:val="20"/>
            <w:szCs w:val="20"/>
          </w:rPr>
          <w:t xml:space="preserve">ГОСТ </w:t>
        </w:r>
        <w:proofErr w:type="gramStart"/>
        <w:r w:rsidRPr="0008644C">
          <w:rPr>
            <w:rFonts w:ascii="Arial" w:hAnsi="Arial" w:cs="Arial"/>
            <w:sz w:val="20"/>
            <w:szCs w:val="20"/>
          </w:rPr>
          <w:t>Р</w:t>
        </w:r>
        <w:proofErr w:type="gramEnd"/>
        <w:r w:rsidRPr="0008644C">
          <w:rPr>
            <w:rFonts w:ascii="Arial" w:hAnsi="Arial" w:cs="Arial"/>
            <w:sz w:val="20"/>
            <w:szCs w:val="20"/>
          </w:rPr>
          <w:t xml:space="preserve"> 52323-2005 </w:t>
        </w:r>
      </w:hyperlink>
      <w:r w:rsidRPr="0008644C">
        <w:rPr>
          <w:rFonts w:ascii="Arial" w:hAnsi="Arial" w:cs="Arial"/>
          <w:sz w:val="20"/>
          <w:szCs w:val="20"/>
        </w:rPr>
        <w:t xml:space="preserve">Часть 22 «Статические счетчики активной энергии классов точности 0,2S и 0,5S», </w:t>
      </w:r>
      <w:hyperlink r:id="rId10" w:history="1">
        <w:r w:rsidRPr="0008644C">
          <w:rPr>
            <w:rFonts w:ascii="Arial" w:hAnsi="Arial" w:cs="Arial"/>
            <w:sz w:val="20"/>
            <w:szCs w:val="20"/>
          </w:rPr>
          <w:t xml:space="preserve">ГОСТ Р 52322-2005 </w:t>
        </w:r>
      </w:hyperlink>
      <w:r w:rsidRPr="0008644C">
        <w:rPr>
          <w:rFonts w:ascii="Arial" w:hAnsi="Arial" w:cs="Arial"/>
          <w:sz w:val="20"/>
          <w:szCs w:val="20"/>
        </w:rPr>
        <w:t>Часть 21 «Статические счетчики активной энергии классов точности 1 и 2» (для реактивной энергии - ГОСТ Р 52425"2005 «Статические счетчики реактивной энергии»).</w:t>
      </w:r>
    </w:p>
    <w:p w:rsidR="00B904CC" w:rsidRPr="0008644C" w:rsidRDefault="00B904CC" w:rsidP="00B479E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>Каждый установленный расчетный счетчик должен иметь на винтах крепящих кожух счетчика, пломбы с клеймом госповерителя, а на зажимной крышке - пломбу сетевой организации.</w:t>
      </w:r>
    </w:p>
    <w:p w:rsidR="00B904CC" w:rsidRPr="0008644C" w:rsidRDefault="00B904CC" w:rsidP="00B479E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 xml:space="preserve">На вновь устанавливаемых трехфазных счетчиках должны быть пломбы государственной поверки с давностью не более 12 месяцев, а на однофазных счетчиках - с давностью не более 2 лет. </w:t>
      </w:r>
    </w:p>
    <w:p w:rsidR="00B904CC" w:rsidRPr="0008644C" w:rsidRDefault="00B904CC" w:rsidP="00B479E5">
      <w:pPr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8644C">
        <w:rPr>
          <w:rFonts w:ascii="Arial" w:hAnsi="Arial" w:cs="Arial"/>
          <w:sz w:val="20"/>
          <w:szCs w:val="20"/>
        </w:rPr>
        <w:t xml:space="preserve">Основным техническим параметром </w:t>
      </w:r>
      <w:r>
        <w:rPr>
          <w:rFonts w:ascii="Arial" w:hAnsi="Arial" w:cs="Arial"/>
          <w:sz w:val="20"/>
          <w:szCs w:val="20"/>
        </w:rPr>
        <w:t>счетчиков электрической энергии</w:t>
      </w:r>
      <w:r w:rsidRPr="0008644C">
        <w:rPr>
          <w:rFonts w:ascii="Arial" w:hAnsi="Arial" w:cs="Arial"/>
          <w:sz w:val="20"/>
          <w:szCs w:val="20"/>
        </w:rPr>
        <w:t xml:space="preserve"> является «класс точности», который указывает на уровень погрешности измерений прибора. Классы точности приборов учета определяются в соответствии с техническими регламентами и иными обязательными требованиями, установленными для классификации средств измерений.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Допустимые классы точности расчетных счетчиков активной электрической энергии для различных объектов учета и потребителей (п.138,139 </w:t>
      </w:r>
      <w:r>
        <w:rPr>
          <w:rFonts w:ascii="Arial" w:hAnsi="Arial" w:cs="Arial"/>
          <w:sz w:val="20"/>
          <w:szCs w:val="20"/>
        </w:rPr>
        <w:t>ПП РФ № 442</w:t>
      </w:r>
      <w:r w:rsidRPr="0008644C">
        <w:rPr>
          <w:rFonts w:ascii="Arial" w:hAnsi="Arial" w:cs="Arial"/>
          <w:sz w:val="20"/>
          <w:szCs w:val="20"/>
        </w:rPr>
        <w:t xml:space="preserve">): </w:t>
      </w:r>
    </w:p>
    <w:p w:rsidR="00B616C7" w:rsidRDefault="00B616C7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0"/>
        <w:gridCol w:w="1205"/>
        <w:gridCol w:w="993"/>
        <w:gridCol w:w="1275"/>
        <w:gridCol w:w="851"/>
        <w:gridCol w:w="3685"/>
      </w:tblGrid>
      <w:tr w:rsidR="00FE5211" w:rsidRPr="00D41737" w:rsidTr="00B616C7">
        <w:trPr>
          <w:trHeight w:val="20"/>
        </w:trPr>
        <w:tc>
          <w:tcPr>
            <w:tcW w:w="1630" w:type="dxa"/>
            <w:shd w:val="clear" w:color="auto" w:fill="auto"/>
            <w:vAlign w:val="center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Категория потребителей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Уровень напряжения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5932">
              <w:rPr>
                <w:rFonts w:ascii="Arial" w:hAnsi="Arial" w:cs="Arial"/>
                <w:sz w:val="18"/>
                <w:szCs w:val="18"/>
              </w:rPr>
              <w:t>Подклю-чение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5932">
              <w:rPr>
                <w:rFonts w:ascii="Arial" w:hAnsi="Arial" w:cs="Arial"/>
                <w:sz w:val="18"/>
                <w:szCs w:val="18"/>
              </w:rPr>
              <w:t>Альтерна-тивное</w:t>
            </w:r>
            <w:proofErr w:type="gramEnd"/>
            <w:r w:rsidRPr="00555932">
              <w:rPr>
                <w:rFonts w:ascii="Arial" w:hAnsi="Arial" w:cs="Arial"/>
                <w:sz w:val="18"/>
                <w:szCs w:val="18"/>
              </w:rPr>
              <w:t xml:space="preserve"> условие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Класс точности</w:t>
            </w:r>
          </w:p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Примечание</w:t>
            </w:r>
          </w:p>
        </w:tc>
      </w:tr>
      <w:tr w:rsidR="00FE5211" w:rsidRPr="00D41737" w:rsidTr="00B616C7">
        <w:trPr>
          <w:trHeight w:val="20"/>
        </w:trPr>
        <w:tc>
          <w:tcPr>
            <w:tcW w:w="1630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 xml:space="preserve">Потребители юридические и приравненные к ним лица свыше 670 </w:t>
            </w:r>
            <w:proofErr w:type="spellStart"/>
            <w:r w:rsidRPr="00555932">
              <w:rPr>
                <w:rFonts w:ascii="Arial" w:hAnsi="Arial" w:cs="Arial"/>
                <w:sz w:val="18"/>
                <w:szCs w:val="18"/>
              </w:rPr>
              <w:t>кВа</w:t>
            </w:r>
            <w:proofErr w:type="spellEnd"/>
          </w:p>
        </w:tc>
        <w:tc>
          <w:tcPr>
            <w:tcW w:w="120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0,4 , 6-35 кВ</w:t>
            </w:r>
          </w:p>
        </w:tc>
        <w:tc>
          <w:tcPr>
            <w:tcW w:w="993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0,5</w:t>
            </w:r>
            <w:r w:rsidRPr="00555932">
              <w:rPr>
                <w:rFonts w:ascii="Arial" w:hAnsi="Arial" w:cs="Arial"/>
                <w:sz w:val="18"/>
                <w:szCs w:val="18"/>
                <w:lang w:val="en-US"/>
              </w:rPr>
              <w:t>S</w:t>
            </w:r>
            <w:r w:rsidRPr="00555932">
              <w:rPr>
                <w:rFonts w:ascii="Arial" w:hAnsi="Arial" w:cs="Arial"/>
                <w:sz w:val="18"/>
                <w:szCs w:val="18"/>
              </w:rPr>
              <w:t xml:space="preserve"> и выше</w:t>
            </w:r>
          </w:p>
        </w:tc>
        <w:tc>
          <w:tcPr>
            <w:tcW w:w="368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 xml:space="preserve">подлежат использованию приборы учета, позволяющие измерять почасовые объемы потребления электрической энергии, класса точности 0,5S и выше, обеспечивающие хранение данных о почасовых объемах потребления электрической энергии </w:t>
            </w:r>
            <w:proofErr w:type="gramStart"/>
            <w:r w:rsidRPr="00555932">
              <w:rPr>
                <w:rFonts w:ascii="Arial" w:hAnsi="Arial" w:cs="Arial"/>
                <w:sz w:val="18"/>
                <w:szCs w:val="18"/>
              </w:rPr>
              <w:t>за</w:t>
            </w:r>
            <w:proofErr w:type="gramEnd"/>
            <w:r w:rsidRPr="00555932">
              <w:rPr>
                <w:rFonts w:ascii="Arial" w:hAnsi="Arial" w:cs="Arial"/>
                <w:sz w:val="18"/>
                <w:szCs w:val="18"/>
              </w:rPr>
              <w:t xml:space="preserve"> последние 120 дней и более или включенные в систему </w:t>
            </w:r>
            <w:r w:rsidRPr="00555932">
              <w:rPr>
                <w:rFonts w:ascii="Arial" w:hAnsi="Arial" w:cs="Arial"/>
                <w:sz w:val="18"/>
                <w:szCs w:val="18"/>
              </w:rPr>
              <w:lastRenderedPageBreak/>
              <w:t>учета</w:t>
            </w:r>
          </w:p>
        </w:tc>
      </w:tr>
      <w:tr w:rsidR="00FE5211" w:rsidRPr="00D41737" w:rsidTr="00B616C7">
        <w:trPr>
          <w:trHeight w:val="20"/>
        </w:trPr>
        <w:tc>
          <w:tcPr>
            <w:tcW w:w="1630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lastRenderedPageBreak/>
              <w:t xml:space="preserve">Потребители юридические и приравненные к ним лица до 670 </w:t>
            </w:r>
            <w:proofErr w:type="spellStart"/>
            <w:r w:rsidRPr="00555932">
              <w:rPr>
                <w:rFonts w:ascii="Arial" w:hAnsi="Arial" w:cs="Arial"/>
                <w:sz w:val="18"/>
                <w:szCs w:val="18"/>
              </w:rPr>
              <w:t>кВа</w:t>
            </w:r>
            <w:proofErr w:type="spellEnd"/>
          </w:p>
        </w:tc>
        <w:tc>
          <w:tcPr>
            <w:tcW w:w="120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0,4 кВ</w:t>
            </w:r>
          </w:p>
        </w:tc>
        <w:tc>
          <w:tcPr>
            <w:tcW w:w="993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55932">
              <w:rPr>
                <w:rFonts w:ascii="Arial" w:hAnsi="Arial" w:cs="Arial"/>
                <w:sz w:val="18"/>
                <w:szCs w:val="18"/>
              </w:rPr>
              <w:t>Существу-</w:t>
            </w:r>
            <w:proofErr w:type="spellStart"/>
            <w:r w:rsidRPr="00555932">
              <w:rPr>
                <w:rFonts w:ascii="Arial" w:hAnsi="Arial" w:cs="Arial"/>
                <w:sz w:val="18"/>
                <w:szCs w:val="18"/>
              </w:rPr>
              <w:t>ющее</w:t>
            </w:r>
            <w:proofErr w:type="spellEnd"/>
            <w:proofErr w:type="gramEnd"/>
          </w:p>
        </w:tc>
        <w:tc>
          <w:tcPr>
            <w:tcW w:w="127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2,0 и выше</w:t>
            </w:r>
          </w:p>
        </w:tc>
        <w:tc>
          <w:tcPr>
            <w:tcW w:w="368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211" w:rsidRPr="00D41737" w:rsidTr="00B616C7">
        <w:trPr>
          <w:trHeight w:val="20"/>
        </w:trPr>
        <w:tc>
          <w:tcPr>
            <w:tcW w:w="1630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 xml:space="preserve">Потребители юридические и приравненные к ним лица до 670 </w:t>
            </w:r>
            <w:proofErr w:type="spellStart"/>
            <w:r w:rsidRPr="00555932">
              <w:rPr>
                <w:rFonts w:ascii="Arial" w:hAnsi="Arial" w:cs="Arial"/>
                <w:sz w:val="18"/>
                <w:szCs w:val="18"/>
              </w:rPr>
              <w:t>кВа</w:t>
            </w:r>
            <w:proofErr w:type="spellEnd"/>
          </w:p>
        </w:tc>
        <w:tc>
          <w:tcPr>
            <w:tcW w:w="120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0,4 , 6-35 кВ</w:t>
            </w:r>
          </w:p>
        </w:tc>
        <w:tc>
          <w:tcPr>
            <w:tcW w:w="993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Новое</w:t>
            </w:r>
          </w:p>
        </w:tc>
        <w:tc>
          <w:tcPr>
            <w:tcW w:w="127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При замене выбывших из эксплуатации приборов учета</w:t>
            </w:r>
          </w:p>
        </w:tc>
        <w:tc>
          <w:tcPr>
            <w:tcW w:w="851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 xml:space="preserve">1,0 и выше </w:t>
            </w:r>
          </w:p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E5211" w:rsidRPr="00D41737" w:rsidTr="00B616C7">
        <w:trPr>
          <w:trHeight w:val="20"/>
        </w:trPr>
        <w:tc>
          <w:tcPr>
            <w:tcW w:w="1630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Граждане-потребители</w:t>
            </w:r>
          </w:p>
        </w:tc>
        <w:tc>
          <w:tcPr>
            <w:tcW w:w="120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Не имеет значения</w:t>
            </w:r>
          </w:p>
        </w:tc>
        <w:tc>
          <w:tcPr>
            <w:tcW w:w="993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Не имеет значения</w:t>
            </w:r>
          </w:p>
        </w:tc>
        <w:tc>
          <w:tcPr>
            <w:tcW w:w="127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55932">
              <w:rPr>
                <w:rFonts w:ascii="Arial" w:hAnsi="Arial" w:cs="Arial"/>
                <w:sz w:val="18"/>
                <w:szCs w:val="18"/>
              </w:rPr>
              <w:t>2,0 и выше</w:t>
            </w:r>
          </w:p>
        </w:tc>
        <w:tc>
          <w:tcPr>
            <w:tcW w:w="3685" w:type="dxa"/>
            <w:shd w:val="clear" w:color="auto" w:fill="auto"/>
          </w:tcPr>
          <w:p w:rsidR="00B904CC" w:rsidRPr="00555932" w:rsidRDefault="00B904CC" w:rsidP="0055593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904C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:rsidR="00B904CC" w:rsidRPr="00B479E5" w:rsidRDefault="00B904CC" w:rsidP="00B479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B479E5">
        <w:rPr>
          <w:rFonts w:ascii="Arial" w:hAnsi="Arial" w:cs="Arial"/>
          <w:sz w:val="20"/>
          <w:szCs w:val="20"/>
        </w:rPr>
        <w:t>Для исключения конфликта оборудования на участках сети в населенных пунктах с ранее установленными системами учета электрической энергии, использующими технологию передачи данных PLC (передача данных по силовой сети), конкретный тип и модификацию электрического счетчика необходимо согласовать с Управлением формирования балансов и оптимизации потерь ОАО «ВОЭК».</w:t>
      </w:r>
    </w:p>
    <w:p w:rsidR="00B904CC" w:rsidRDefault="00B904CC" w:rsidP="00B479E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B904CC" w:rsidRDefault="00B904CC" w:rsidP="00FE5211">
      <w:pPr>
        <w:numPr>
          <w:ilvl w:val="0"/>
          <w:numId w:val="6"/>
        </w:num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41737">
        <w:rPr>
          <w:rFonts w:ascii="Arial" w:hAnsi="Arial" w:cs="Arial"/>
          <w:b/>
          <w:sz w:val="20"/>
          <w:szCs w:val="20"/>
        </w:rPr>
        <w:t>Требования к измерительным трансформаторам</w:t>
      </w:r>
    </w:p>
    <w:p w:rsidR="00FE5211" w:rsidRPr="00D41737" w:rsidRDefault="00FE5211" w:rsidP="00FE5211">
      <w:pPr>
        <w:spacing w:line="360" w:lineRule="auto"/>
        <w:ind w:left="720"/>
        <w:rPr>
          <w:rFonts w:ascii="Arial" w:hAnsi="Arial" w:cs="Arial"/>
          <w:b/>
          <w:sz w:val="20"/>
          <w:szCs w:val="20"/>
        </w:rPr>
      </w:pP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08644C">
        <w:rPr>
          <w:rFonts w:ascii="Arial" w:hAnsi="Arial" w:cs="Arial"/>
          <w:sz w:val="20"/>
          <w:szCs w:val="20"/>
        </w:rPr>
        <w:t>Измерительные трансформаторы тока по техническим требованиям должны соответствовать ГОСТ 7746-2001 (“Трансформаторы тока.</w:t>
      </w:r>
      <w:proofErr w:type="gramEnd"/>
      <w:r w:rsidRPr="0008644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8644C">
        <w:rPr>
          <w:rFonts w:ascii="Arial" w:hAnsi="Arial" w:cs="Arial"/>
          <w:sz w:val="20"/>
          <w:szCs w:val="20"/>
        </w:rPr>
        <w:t>Общие технические условия”).</w:t>
      </w:r>
      <w:proofErr w:type="gramEnd"/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Класс точности трансформаторов тока и напряжения для присоединения расчетных счетчиков электрической энергии должен быть не более 0,5. 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Допускается применение трансформаторов тока с завышенным коэффициентом трансформации (по условиям электродинамической и термической стойкости или защиты шин), если при максимальной нагрузке присоединения ток во вторичной обмотке трансформатора тока будет составлять не менее 40 % номинального тока счетчика, а при     минимальной рабочей нагрузке - не менее 5 %.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Присоединение токовых обмоток счетчиков к вторичным обмоткам трансформаторов тока следует проводить, отдельно от цепей защиты и совместно с электроизмерительными приборами. 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Использование промежуточных трансформаторов тока для включения расчетных  счетчиков запрещается.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Нагрузка вторичных обмоток измерительных трансформаторов, к которым присоединяются счетчики, не должна превышать номинальных значений. 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08644C">
        <w:rPr>
          <w:rFonts w:ascii="Arial" w:hAnsi="Arial" w:cs="Arial"/>
          <w:sz w:val="20"/>
          <w:szCs w:val="20"/>
        </w:rPr>
        <w:t>Измерительные трансформаторы напряжения по техническим характеристикам должны соответствовать ГОСТ 1983 - 2001 (“Трансформаторы напряжения.</w:t>
      </w:r>
      <w:proofErr w:type="gramEnd"/>
      <w:r w:rsidRPr="0008644C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8644C">
        <w:rPr>
          <w:rFonts w:ascii="Arial" w:hAnsi="Arial" w:cs="Arial"/>
          <w:sz w:val="20"/>
          <w:szCs w:val="20"/>
        </w:rPr>
        <w:t>Общие технические условия”).</w:t>
      </w:r>
      <w:proofErr w:type="gramEnd"/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Сечение и длина проводов и кабелей в цепях напряжения расчетных счетчиков должны выбираться таким образом, чтобы потери напряжения в этих цепях составляли не более 0,25 % номинального напряжения при питании от трансформаторов напряжения класса точности 0,5. Для обеспечения </w:t>
      </w:r>
      <w:r w:rsidRPr="0008644C">
        <w:rPr>
          <w:rFonts w:ascii="Arial" w:hAnsi="Arial" w:cs="Arial"/>
          <w:sz w:val="20"/>
          <w:szCs w:val="20"/>
        </w:rPr>
        <w:lastRenderedPageBreak/>
        <w:t>этого требования допускается применение отдельных кабелей от трансформаторов напряжения до счетчиков.</w:t>
      </w:r>
    </w:p>
    <w:p w:rsidR="00B904CC" w:rsidRPr="0008644C" w:rsidRDefault="00B904CC" w:rsidP="00B479E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B904CC" w:rsidRDefault="00B904CC" w:rsidP="00FE5211">
      <w:pPr>
        <w:pStyle w:val="ad"/>
        <w:numPr>
          <w:ilvl w:val="0"/>
          <w:numId w:val="6"/>
        </w:num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 xml:space="preserve">Требования к </w:t>
      </w:r>
      <w:r>
        <w:rPr>
          <w:rFonts w:ascii="Arial" w:hAnsi="Arial" w:cs="Arial"/>
          <w:b/>
          <w:sz w:val="20"/>
          <w:szCs w:val="20"/>
        </w:rPr>
        <w:t xml:space="preserve">монтажу и </w:t>
      </w:r>
      <w:r w:rsidRPr="0008644C">
        <w:rPr>
          <w:rFonts w:ascii="Arial" w:hAnsi="Arial" w:cs="Arial"/>
          <w:b/>
          <w:sz w:val="20"/>
          <w:szCs w:val="20"/>
        </w:rPr>
        <w:t>местам установки приборов учета</w:t>
      </w:r>
    </w:p>
    <w:p w:rsidR="00FE5211" w:rsidRPr="0008644C" w:rsidRDefault="00FE5211" w:rsidP="00FE5211">
      <w:pPr>
        <w:pStyle w:val="ad"/>
        <w:spacing w:after="0" w:line="360" w:lineRule="auto"/>
        <w:rPr>
          <w:rFonts w:ascii="Arial" w:hAnsi="Arial" w:cs="Arial"/>
          <w:b/>
          <w:sz w:val="20"/>
          <w:szCs w:val="20"/>
        </w:rPr>
      </w:pPr>
    </w:p>
    <w:p w:rsidR="00B479E5" w:rsidRDefault="00B904CC" w:rsidP="00B479E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Приборы учета подлежат установке на границах балансовой принадлежности объектов электроэнергетики (энергопринимающих устройств) потребителей и сетевой организации, а также в иных местах, определяемых с соблюдением установленных законодательством Российской Федерации требований к местам установки приборов учета. </w:t>
      </w:r>
    </w:p>
    <w:p w:rsidR="00B904CC" w:rsidRDefault="00B904CC" w:rsidP="00B479E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Например:</w:t>
      </w:r>
    </w:p>
    <w:p w:rsidR="00B904CC" w:rsidRPr="00DD66C5" w:rsidRDefault="00B904CC" w:rsidP="00B479E5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</w:pPr>
      <w:r w:rsidRPr="00DD66C5"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>Для прибора учета физических лиц:</w:t>
      </w:r>
    </w:p>
    <w:p w:rsidR="00B904CC" w:rsidRPr="0008644C" w:rsidRDefault="00B904CC" w:rsidP="00B479E5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 w:rsidRPr="00B904CC">
        <w:rPr>
          <w:rFonts w:ascii="Arial" w:hAnsi="Arial" w:cs="Arial"/>
          <w:b/>
          <w:bCs/>
          <w:sz w:val="20"/>
          <w:szCs w:val="20"/>
          <w:highlight w:val="lightGray"/>
          <w:lang w:eastAsia="ru-RU"/>
        </w:rPr>
        <w:t>Граница земельного участка совпадает с границей дома (строения).</w:t>
      </w:r>
    </w:p>
    <w:p w:rsidR="00B904CC" w:rsidRPr="0008644C" w:rsidRDefault="003840AC" w:rsidP="00B479E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Прибор учета может у</w:t>
      </w:r>
      <w:r w:rsidR="003A373C" w:rsidRPr="003840AC">
        <w:rPr>
          <w:rFonts w:ascii="Arial" w:hAnsi="Arial" w:cs="Arial"/>
          <w:sz w:val="20"/>
          <w:szCs w:val="20"/>
        </w:rPr>
        <w:t>станавливаться:</w:t>
      </w:r>
    </w:p>
    <w:p w:rsidR="003840AC" w:rsidRDefault="004B39D4" w:rsidP="003840AC">
      <w:pPr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</w:t>
      </w:r>
      <w:r w:rsidR="002319CC">
        <w:rPr>
          <w:rFonts w:ascii="Arial" w:hAnsi="Arial" w:cs="Arial"/>
          <w:sz w:val="20"/>
          <w:szCs w:val="20"/>
        </w:rPr>
        <w:t>ф</w:t>
      </w:r>
      <w:r w:rsidR="003840AC" w:rsidRPr="0008644C">
        <w:rPr>
          <w:rFonts w:ascii="Arial" w:hAnsi="Arial" w:cs="Arial"/>
          <w:sz w:val="20"/>
          <w:szCs w:val="20"/>
        </w:rPr>
        <w:t>асад</w:t>
      </w:r>
      <w:r w:rsidR="003840AC">
        <w:rPr>
          <w:rFonts w:ascii="Arial" w:hAnsi="Arial" w:cs="Arial"/>
          <w:sz w:val="20"/>
          <w:szCs w:val="20"/>
        </w:rPr>
        <w:t>е</w:t>
      </w:r>
      <w:r w:rsidR="003840AC" w:rsidRPr="0008644C">
        <w:rPr>
          <w:rFonts w:ascii="Arial" w:hAnsi="Arial" w:cs="Arial"/>
          <w:sz w:val="20"/>
          <w:szCs w:val="20"/>
        </w:rPr>
        <w:t xml:space="preserve"> строения</w:t>
      </w:r>
      <w:r w:rsidR="003840AC">
        <w:rPr>
          <w:rFonts w:ascii="Arial" w:hAnsi="Arial" w:cs="Arial"/>
          <w:sz w:val="20"/>
          <w:szCs w:val="20"/>
        </w:rPr>
        <w:t xml:space="preserve"> (если имеется свободный доступ к прибору учета)</w:t>
      </w:r>
      <w:r w:rsidR="00DD66C5">
        <w:rPr>
          <w:rFonts w:ascii="Arial" w:hAnsi="Arial" w:cs="Arial"/>
          <w:sz w:val="20"/>
          <w:szCs w:val="20"/>
        </w:rPr>
        <w:t xml:space="preserve">. </w:t>
      </w:r>
      <w:r w:rsidR="00DD66C5" w:rsidRPr="0008644C">
        <w:rPr>
          <w:rFonts w:ascii="Arial" w:hAnsi="Arial" w:cs="Arial"/>
          <w:sz w:val="20"/>
          <w:szCs w:val="20"/>
        </w:rPr>
        <w:t xml:space="preserve">Рекомендуется высота </w:t>
      </w:r>
      <w:r w:rsidR="00DD66C5">
        <w:rPr>
          <w:rFonts w:ascii="Arial" w:hAnsi="Arial" w:cs="Arial"/>
          <w:sz w:val="20"/>
          <w:szCs w:val="20"/>
        </w:rPr>
        <w:tab/>
      </w:r>
      <w:r w:rsidR="00DD66C5" w:rsidRPr="0008644C">
        <w:rPr>
          <w:rFonts w:ascii="Arial" w:hAnsi="Arial" w:cs="Arial"/>
          <w:sz w:val="20"/>
          <w:szCs w:val="20"/>
        </w:rPr>
        <w:t>установки выносного щита на высоте 1,5 м. от уровня земли до низа щита</w:t>
      </w:r>
      <w:proofErr w:type="gramStart"/>
      <w:r w:rsidR="00DD66C5" w:rsidRPr="003840AC">
        <w:rPr>
          <w:rFonts w:ascii="Arial" w:hAnsi="Arial" w:cs="Arial"/>
          <w:sz w:val="20"/>
          <w:szCs w:val="20"/>
        </w:rPr>
        <w:t>.</w:t>
      </w:r>
      <w:r w:rsidR="003840AC" w:rsidRPr="0008644C">
        <w:rPr>
          <w:rFonts w:ascii="Arial" w:hAnsi="Arial" w:cs="Arial"/>
          <w:sz w:val="20"/>
          <w:szCs w:val="20"/>
        </w:rPr>
        <w:t>;</w:t>
      </w:r>
      <w:proofErr w:type="gramEnd"/>
    </w:p>
    <w:p w:rsidR="004B39D4" w:rsidRDefault="004B39D4" w:rsidP="004B39D4">
      <w:pPr>
        <w:keepNext/>
        <w:spacing w:line="360" w:lineRule="auto"/>
        <w:ind w:firstLine="709"/>
        <w:jc w:val="center"/>
      </w:pPr>
      <w:r>
        <w:object w:dxaOrig="8805" w:dyaOrig="68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7.55pt;height:294.9pt" o:ole="">
            <v:imagedata r:id="rId11" o:title=""/>
          </v:shape>
          <o:OLEObject Type="Embed" ProgID="Visio.Drawing.11" ShapeID="_x0000_i1025" DrawAspect="Content" ObjectID="_1488088776" r:id="rId12"/>
        </w:object>
      </w:r>
    </w:p>
    <w:p w:rsidR="00A80D73" w:rsidRPr="004B39D4" w:rsidRDefault="004B39D4" w:rsidP="004B39D4">
      <w:pPr>
        <w:pStyle w:val="ae"/>
        <w:jc w:val="center"/>
        <w:rPr>
          <w:rFonts w:ascii="Arial" w:hAnsi="Arial" w:cs="Arial"/>
          <w:color w:val="auto"/>
          <w:sz w:val="20"/>
          <w:szCs w:val="20"/>
        </w:rPr>
      </w:pPr>
      <w:r w:rsidRPr="004B39D4">
        <w:rPr>
          <w:color w:val="auto"/>
        </w:rPr>
        <w:t xml:space="preserve">Рисунок </w:t>
      </w:r>
      <w:r w:rsidRPr="004B39D4">
        <w:rPr>
          <w:color w:val="auto"/>
        </w:rPr>
        <w:fldChar w:fldCharType="begin"/>
      </w:r>
      <w:r w:rsidRPr="004B39D4">
        <w:rPr>
          <w:color w:val="auto"/>
        </w:rPr>
        <w:instrText xml:space="preserve"> SEQ Рисунок \* ARABIC </w:instrText>
      </w:r>
      <w:r w:rsidRPr="004B39D4">
        <w:rPr>
          <w:color w:val="auto"/>
        </w:rPr>
        <w:fldChar w:fldCharType="separate"/>
      </w:r>
      <w:r>
        <w:rPr>
          <w:noProof/>
          <w:color w:val="auto"/>
        </w:rPr>
        <w:t>1</w:t>
      </w:r>
      <w:r w:rsidRPr="004B39D4">
        <w:rPr>
          <w:color w:val="auto"/>
        </w:rPr>
        <w:fldChar w:fldCharType="end"/>
      </w:r>
      <w:r w:rsidRPr="004B39D4">
        <w:rPr>
          <w:color w:val="auto"/>
        </w:rPr>
        <w:t>. Прибор учета на фасаде строения</w:t>
      </w:r>
      <w:r w:rsidR="00672479">
        <w:rPr>
          <w:color w:val="auto"/>
        </w:rPr>
        <w:t xml:space="preserve"> (пример)</w:t>
      </w:r>
      <w:r w:rsidRPr="004B39D4">
        <w:rPr>
          <w:color w:val="auto"/>
        </w:rPr>
        <w:t>.</w:t>
      </w:r>
    </w:p>
    <w:p w:rsidR="003840AC" w:rsidRDefault="004B39D4" w:rsidP="003840AC">
      <w:pPr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</w:t>
      </w:r>
      <w:r w:rsidR="002319CC">
        <w:rPr>
          <w:rFonts w:ascii="Arial" w:hAnsi="Arial" w:cs="Arial"/>
          <w:sz w:val="20"/>
          <w:szCs w:val="20"/>
        </w:rPr>
        <w:t>г</w:t>
      </w:r>
      <w:r w:rsidR="003840AC" w:rsidRPr="0008644C">
        <w:rPr>
          <w:rFonts w:ascii="Arial" w:hAnsi="Arial" w:cs="Arial"/>
          <w:sz w:val="20"/>
          <w:szCs w:val="20"/>
        </w:rPr>
        <w:t>раниц</w:t>
      </w:r>
      <w:r w:rsidR="003840AC">
        <w:rPr>
          <w:rFonts w:ascii="Arial" w:hAnsi="Arial" w:cs="Arial"/>
          <w:sz w:val="20"/>
          <w:szCs w:val="20"/>
        </w:rPr>
        <w:t>е</w:t>
      </w:r>
      <w:r w:rsidR="003840AC" w:rsidRPr="0008644C">
        <w:rPr>
          <w:rFonts w:ascii="Arial" w:hAnsi="Arial" w:cs="Arial"/>
          <w:sz w:val="20"/>
          <w:szCs w:val="20"/>
        </w:rPr>
        <w:t xml:space="preserve"> земельного участка</w:t>
      </w:r>
      <w:r w:rsidR="003840AC">
        <w:rPr>
          <w:rFonts w:ascii="Arial" w:hAnsi="Arial" w:cs="Arial"/>
          <w:sz w:val="20"/>
          <w:szCs w:val="20"/>
        </w:rPr>
        <w:t xml:space="preserve"> (при наличии технической возможности установки)</w:t>
      </w:r>
      <w:r w:rsidR="00DD66C5">
        <w:rPr>
          <w:rFonts w:ascii="Arial" w:hAnsi="Arial" w:cs="Arial"/>
          <w:sz w:val="20"/>
          <w:szCs w:val="20"/>
        </w:rPr>
        <w:t>.</w:t>
      </w:r>
      <w:r w:rsidR="00DD66C5" w:rsidRPr="00DD66C5">
        <w:rPr>
          <w:rFonts w:ascii="Arial" w:hAnsi="Arial" w:cs="Arial"/>
          <w:sz w:val="20"/>
          <w:szCs w:val="20"/>
        </w:rPr>
        <w:t xml:space="preserve"> </w:t>
      </w:r>
      <w:r w:rsidR="00DD66C5">
        <w:rPr>
          <w:rFonts w:ascii="Arial" w:hAnsi="Arial" w:cs="Arial"/>
          <w:sz w:val="20"/>
          <w:szCs w:val="20"/>
        </w:rPr>
        <w:t xml:space="preserve"> </w:t>
      </w:r>
      <w:r w:rsidR="00DD66C5">
        <w:rPr>
          <w:rFonts w:ascii="Arial" w:hAnsi="Arial" w:cs="Arial"/>
          <w:sz w:val="20"/>
          <w:szCs w:val="20"/>
        </w:rPr>
        <w:tab/>
      </w:r>
      <w:r w:rsidR="00DD66C5" w:rsidRPr="0008644C">
        <w:rPr>
          <w:rFonts w:ascii="Arial" w:hAnsi="Arial" w:cs="Arial"/>
          <w:sz w:val="20"/>
          <w:szCs w:val="20"/>
        </w:rPr>
        <w:t xml:space="preserve">Рекомендуется высота установки выносного щита на высоте 1,5 м. от уровня земли до низа </w:t>
      </w:r>
      <w:r w:rsidR="00DD66C5">
        <w:rPr>
          <w:rFonts w:ascii="Arial" w:hAnsi="Arial" w:cs="Arial"/>
          <w:sz w:val="20"/>
          <w:szCs w:val="20"/>
        </w:rPr>
        <w:tab/>
      </w:r>
      <w:r w:rsidR="00DD66C5" w:rsidRPr="0008644C">
        <w:rPr>
          <w:rFonts w:ascii="Arial" w:hAnsi="Arial" w:cs="Arial"/>
          <w:sz w:val="20"/>
          <w:szCs w:val="20"/>
        </w:rPr>
        <w:t>щита</w:t>
      </w:r>
      <w:proofErr w:type="gramStart"/>
      <w:r w:rsidR="00DD66C5" w:rsidRPr="003840AC">
        <w:rPr>
          <w:rFonts w:ascii="Arial" w:hAnsi="Arial" w:cs="Arial"/>
          <w:sz w:val="20"/>
          <w:szCs w:val="20"/>
        </w:rPr>
        <w:t>.</w:t>
      </w:r>
      <w:r w:rsidR="003840AC" w:rsidRPr="0008644C">
        <w:rPr>
          <w:rFonts w:ascii="Arial" w:hAnsi="Arial" w:cs="Arial"/>
          <w:sz w:val="20"/>
          <w:szCs w:val="20"/>
        </w:rPr>
        <w:t>;</w:t>
      </w:r>
      <w:proofErr w:type="gramEnd"/>
    </w:p>
    <w:p w:rsidR="004B39D4" w:rsidRDefault="004B39D4" w:rsidP="004B39D4">
      <w:pPr>
        <w:keepNext/>
        <w:spacing w:line="360" w:lineRule="auto"/>
        <w:ind w:firstLine="709"/>
      </w:pPr>
      <w:r>
        <w:object w:dxaOrig="10449" w:dyaOrig="5626">
          <v:shape id="_x0000_i1026" type="#_x0000_t75" style="width:401.95pt;height:216.65pt" o:ole="">
            <v:imagedata r:id="rId13" o:title=""/>
          </v:shape>
          <o:OLEObject Type="Embed" ProgID="Visio.Drawing.11" ShapeID="_x0000_i1026" DrawAspect="Content" ObjectID="_1488088777" r:id="rId14"/>
        </w:object>
      </w:r>
    </w:p>
    <w:p w:rsidR="00A80D73" w:rsidRPr="004B39D4" w:rsidRDefault="004B39D4" w:rsidP="004B39D4">
      <w:pPr>
        <w:pStyle w:val="ae"/>
        <w:jc w:val="center"/>
        <w:rPr>
          <w:color w:val="auto"/>
        </w:rPr>
      </w:pPr>
      <w:r w:rsidRPr="004B39D4">
        <w:rPr>
          <w:color w:val="auto"/>
        </w:rPr>
        <w:t xml:space="preserve">Рисунок </w:t>
      </w:r>
      <w:r w:rsidRPr="004B39D4">
        <w:rPr>
          <w:color w:val="auto"/>
        </w:rPr>
        <w:fldChar w:fldCharType="begin"/>
      </w:r>
      <w:r w:rsidRPr="004B39D4">
        <w:rPr>
          <w:color w:val="auto"/>
        </w:rPr>
        <w:instrText xml:space="preserve"> SEQ Рисунок \* ARABIC </w:instrText>
      </w:r>
      <w:r w:rsidRPr="004B39D4">
        <w:rPr>
          <w:color w:val="auto"/>
        </w:rPr>
        <w:fldChar w:fldCharType="separate"/>
      </w:r>
      <w:r>
        <w:rPr>
          <w:noProof/>
          <w:color w:val="auto"/>
        </w:rPr>
        <w:t>2</w:t>
      </w:r>
      <w:r w:rsidRPr="004B39D4">
        <w:rPr>
          <w:color w:val="auto"/>
        </w:rPr>
        <w:fldChar w:fldCharType="end"/>
      </w:r>
      <w:r w:rsidRPr="004B39D4">
        <w:rPr>
          <w:color w:val="auto"/>
        </w:rPr>
        <w:t>. На границе земельного участка</w:t>
      </w:r>
      <w:r w:rsidR="00672479">
        <w:rPr>
          <w:color w:val="auto"/>
        </w:rPr>
        <w:t xml:space="preserve"> (пример)</w:t>
      </w:r>
      <w:r w:rsidRPr="004B39D4">
        <w:rPr>
          <w:color w:val="auto"/>
        </w:rPr>
        <w:t>.</w:t>
      </w:r>
    </w:p>
    <w:p w:rsidR="002319CC" w:rsidRDefault="002319CC" w:rsidP="002319CC">
      <w:pPr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опор</w:t>
      </w:r>
      <w:r w:rsidR="004B39D4">
        <w:rPr>
          <w:rFonts w:ascii="Arial" w:hAnsi="Arial" w:cs="Arial"/>
          <w:sz w:val="20"/>
          <w:szCs w:val="20"/>
        </w:rPr>
        <w:t>е</w:t>
      </w:r>
      <w:r>
        <w:rPr>
          <w:rFonts w:ascii="Arial" w:hAnsi="Arial" w:cs="Arial"/>
          <w:sz w:val="20"/>
          <w:szCs w:val="20"/>
        </w:rPr>
        <w:t xml:space="preserve"> </w:t>
      </w:r>
      <w:r w:rsidR="004B39D4">
        <w:rPr>
          <w:rFonts w:ascii="Arial" w:hAnsi="Arial" w:cs="Arial"/>
          <w:sz w:val="20"/>
          <w:szCs w:val="20"/>
        </w:rPr>
        <w:t>воздушной линии 0,4кВ</w:t>
      </w:r>
      <w:r w:rsidRPr="004B39D4">
        <w:rPr>
          <w:rFonts w:ascii="Arial" w:hAnsi="Arial" w:cs="Arial"/>
          <w:sz w:val="20"/>
          <w:szCs w:val="20"/>
        </w:rPr>
        <w:t>;</w:t>
      </w:r>
    </w:p>
    <w:p w:rsidR="004B39D4" w:rsidRDefault="00A80D73" w:rsidP="004B39D4">
      <w:pPr>
        <w:keepNext/>
        <w:spacing w:line="360" w:lineRule="auto"/>
        <w:jc w:val="center"/>
      </w:pPr>
      <w:r>
        <w:object w:dxaOrig="8635" w:dyaOrig="7898">
          <v:shape id="_x0000_i1027" type="#_x0000_t75" style="width:321.2pt;height:292.4pt" o:ole="">
            <v:imagedata r:id="rId15" o:title=""/>
          </v:shape>
          <o:OLEObject Type="Embed" ProgID="Visio.Drawing.11" ShapeID="_x0000_i1027" DrawAspect="Content" ObjectID="_1488088778" r:id="rId16"/>
        </w:object>
      </w:r>
    </w:p>
    <w:p w:rsidR="00A80D73" w:rsidRPr="004B39D4" w:rsidRDefault="004B39D4" w:rsidP="004B39D4">
      <w:pPr>
        <w:pStyle w:val="ae"/>
        <w:jc w:val="center"/>
        <w:rPr>
          <w:rFonts w:ascii="Arial" w:hAnsi="Arial" w:cs="Arial"/>
          <w:color w:val="auto"/>
          <w:sz w:val="20"/>
          <w:szCs w:val="20"/>
        </w:rPr>
      </w:pPr>
      <w:r w:rsidRPr="004B39D4">
        <w:rPr>
          <w:color w:val="auto"/>
        </w:rPr>
        <w:t xml:space="preserve">Рисунок </w:t>
      </w:r>
      <w:r w:rsidRPr="004B39D4">
        <w:rPr>
          <w:color w:val="auto"/>
        </w:rPr>
        <w:fldChar w:fldCharType="begin"/>
      </w:r>
      <w:r w:rsidRPr="004B39D4">
        <w:rPr>
          <w:color w:val="auto"/>
        </w:rPr>
        <w:instrText xml:space="preserve"> SEQ Рисунок \* ARABIC </w:instrText>
      </w:r>
      <w:r w:rsidRPr="004B39D4">
        <w:rPr>
          <w:color w:val="auto"/>
        </w:rPr>
        <w:fldChar w:fldCharType="separate"/>
      </w:r>
      <w:r w:rsidRPr="004B39D4">
        <w:rPr>
          <w:noProof/>
          <w:color w:val="auto"/>
        </w:rPr>
        <w:t>3</w:t>
      </w:r>
      <w:r w:rsidRPr="004B39D4">
        <w:rPr>
          <w:color w:val="auto"/>
        </w:rPr>
        <w:fldChar w:fldCharType="end"/>
      </w:r>
      <w:r w:rsidRPr="004B39D4">
        <w:rPr>
          <w:color w:val="auto"/>
        </w:rPr>
        <w:t xml:space="preserve">. На опоре </w:t>
      </w:r>
      <w:r w:rsidR="00672479">
        <w:rPr>
          <w:color w:val="auto"/>
        </w:rPr>
        <w:t xml:space="preserve">воздушной линии </w:t>
      </w:r>
      <w:r w:rsidRPr="004B39D4">
        <w:rPr>
          <w:color w:val="auto"/>
        </w:rPr>
        <w:t>0,4кВ</w:t>
      </w:r>
      <w:r w:rsidR="00672479">
        <w:rPr>
          <w:color w:val="auto"/>
        </w:rPr>
        <w:t xml:space="preserve"> (пример)</w:t>
      </w:r>
      <w:r w:rsidRPr="004B39D4">
        <w:rPr>
          <w:color w:val="auto"/>
        </w:rPr>
        <w:t>.</w:t>
      </w:r>
    </w:p>
    <w:p w:rsidR="002319CC" w:rsidRPr="002319CC" w:rsidRDefault="002319CC" w:rsidP="002319CC">
      <w:pPr>
        <w:numPr>
          <w:ilvl w:val="0"/>
          <w:numId w:val="4"/>
        </w:numPr>
        <w:tabs>
          <w:tab w:val="clear" w:pos="720"/>
          <w:tab w:val="num" w:pos="0"/>
        </w:tabs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и</w:t>
      </w:r>
      <w:r w:rsidRPr="002319CC">
        <w:rPr>
          <w:rFonts w:ascii="Arial" w:hAnsi="Arial" w:cs="Arial"/>
          <w:sz w:val="20"/>
          <w:szCs w:val="20"/>
        </w:rPr>
        <w:t>ны</w:t>
      </w:r>
      <w:r>
        <w:rPr>
          <w:rFonts w:ascii="Arial" w:hAnsi="Arial" w:cs="Arial"/>
          <w:sz w:val="20"/>
          <w:szCs w:val="20"/>
        </w:rPr>
        <w:t>х</w:t>
      </w:r>
      <w:r w:rsidRPr="002319CC">
        <w:rPr>
          <w:rFonts w:ascii="Arial" w:hAnsi="Arial" w:cs="Arial"/>
          <w:sz w:val="20"/>
          <w:szCs w:val="20"/>
        </w:rPr>
        <w:t xml:space="preserve"> места</w:t>
      </w:r>
      <w:r>
        <w:rPr>
          <w:rFonts w:ascii="Arial" w:hAnsi="Arial" w:cs="Arial"/>
          <w:sz w:val="20"/>
          <w:szCs w:val="20"/>
        </w:rPr>
        <w:t>х</w:t>
      </w:r>
      <w:r w:rsidRPr="002319CC">
        <w:rPr>
          <w:rFonts w:ascii="Arial" w:hAnsi="Arial" w:cs="Arial"/>
          <w:sz w:val="20"/>
          <w:szCs w:val="20"/>
        </w:rPr>
        <w:t xml:space="preserve"> установк</w:t>
      </w:r>
      <w:r>
        <w:rPr>
          <w:rFonts w:ascii="Arial" w:hAnsi="Arial" w:cs="Arial"/>
          <w:sz w:val="20"/>
          <w:szCs w:val="20"/>
        </w:rPr>
        <w:t>а</w:t>
      </w:r>
      <w:r w:rsidRPr="002319CC">
        <w:rPr>
          <w:rFonts w:ascii="Arial" w:hAnsi="Arial" w:cs="Arial"/>
          <w:sz w:val="20"/>
          <w:szCs w:val="20"/>
        </w:rPr>
        <w:t xml:space="preserve"> допуска</w:t>
      </w:r>
      <w:r>
        <w:rPr>
          <w:rFonts w:ascii="Arial" w:hAnsi="Arial" w:cs="Arial"/>
          <w:sz w:val="20"/>
          <w:szCs w:val="20"/>
        </w:rPr>
        <w:t>е</w:t>
      </w:r>
      <w:r w:rsidRPr="002319CC">
        <w:rPr>
          <w:rFonts w:ascii="Arial" w:hAnsi="Arial" w:cs="Arial"/>
          <w:sz w:val="20"/>
          <w:szCs w:val="20"/>
        </w:rPr>
        <w:t xml:space="preserve">тся при согласовании с Обособленным подразделением                </w:t>
      </w:r>
      <w:r>
        <w:rPr>
          <w:rFonts w:ascii="Arial" w:hAnsi="Arial" w:cs="Arial"/>
          <w:sz w:val="20"/>
          <w:szCs w:val="20"/>
        </w:rPr>
        <w:tab/>
      </w:r>
      <w:r w:rsidRPr="002319CC">
        <w:rPr>
          <w:rFonts w:ascii="Arial" w:hAnsi="Arial" w:cs="Arial"/>
          <w:sz w:val="20"/>
          <w:szCs w:val="20"/>
        </w:rPr>
        <w:t>ОАО «ВОЭК», обслуживающим данную территорию.</w:t>
      </w:r>
    </w:p>
    <w:p w:rsidR="00B904CC" w:rsidRPr="00B904CC" w:rsidRDefault="00B904CC" w:rsidP="00B479E5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  <w:lang w:eastAsia="ru-RU"/>
        </w:rPr>
      </w:pPr>
    </w:p>
    <w:p w:rsidR="004B39D4" w:rsidRDefault="004B39D4" w:rsidP="00B479E5">
      <w:pPr>
        <w:spacing w:line="360" w:lineRule="auto"/>
        <w:rPr>
          <w:rFonts w:ascii="Arial" w:hAnsi="Arial" w:cs="Arial"/>
          <w:b/>
          <w:bCs/>
          <w:sz w:val="20"/>
          <w:szCs w:val="20"/>
          <w:highlight w:val="lightGray"/>
          <w:lang w:eastAsia="ru-RU"/>
        </w:rPr>
      </w:pPr>
    </w:p>
    <w:p w:rsidR="00B904CC" w:rsidRPr="0008644C" w:rsidRDefault="00B904CC" w:rsidP="00B479E5">
      <w:pPr>
        <w:spacing w:line="360" w:lineRule="auto"/>
        <w:rPr>
          <w:rFonts w:ascii="Arial" w:hAnsi="Arial" w:cs="Arial"/>
          <w:b/>
          <w:bCs/>
          <w:sz w:val="20"/>
          <w:szCs w:val="20"/>
          <w:lang w:eastAsia="ru-RU"/>
        </w:rPr>
      </w:pPr>
      <w:r w:rsidRPr="00B904CC">
        <w:rPr>
          <w:rFonts w:ascii="Arial" w:hAnsi="Arial" w:cs="Arial"/>
          <w:b/>
          <w:bCs/>
          <w:sz w:val="20"/>
          <w:szCs w:val="20"/>
          <w:highlight w:val="lightGray"/>
          <w:lang w:eastAsia="ru-RU"/>
        </w:rPr>
        <w:lastRenderedPageBreak/>
        <w:t>Граница земельного участка не совпадает с границей дома (строения).</w:t>
      </w:r>
    </w:p>
    <w:p w:rsidR="00B904CC" w:rsidRPr="0008644C" w:rsidRDefault="00B904CC" w:rsidP="00B479E5">
      <w:pPr>
        <w:spacing w:line="360" w:lineRule="auto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 xml:space="preserve">При отсутствии технической возможности установки прибора учета на границе балансовой принадлежности прибор учета подлежит установке в месте, максимально приближенном к границе балансовой принадлежности, в котором имеется техническая возможность его установки. </w:t>
      </w:r>
    </w:p>
    <w:p w:rsidR="00B904CC" w:rsidRPr="0008644C" w:rsidRDefault="009D15C9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  <w:r>
        <w:object w:dxaOrig="8635" w:dyaOrig="6390">
          <v:shape id="_x0000_i1028" type="#_x0000_t75" style="width:322.45pt;height:238.55pt" o:ole="">
            <v:imagedata r:id="rId17" o:title=""/>
          </v:shape>
          <o:OLEObject Type="Embed" ProgID="Visio.Drawing.11" ShapeID="_x0000_i1028" DrawAspect="Content" ObjectID="_1488088779" r:id="rId18"/>
        </w:object>
      </w:r>
      <w:r w:rsidRPr="0008644C">
        <w:rPr>
          <w:rFonts w:ascii="Arial" w:hAnsi="Arial" w:cs="Arial"/>
          <w:sz w:val="20"/>
          <w:szCs w:val="20"/>
        </w:rPr>
        <w:object w:dxaOrig="1140" w:dyaOrig="1995">
          <v:shape id="_x0000_i1029" type="#_x0000_t75" style="width:136.5pt;height:238.55pt" o:ole="">
            <v:imagedata r:id="rId19" o:title=""/>
          </v:shape>
          <o:OLEObject Type="Embed" ProgID="PBrush" ShapeID="_x0000_i1029" DrawAspect="Content" ObjectID="_1488088780" r:id="rId20"/>
        </w:object>
      </w:r>
    </w:p>
    <w:p w:rsidR="002319CC" w:rsidRPr="0008644C" w:rsidRDefault="002319CC" w:rsidP="002319CC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Прибор учета может у</w:t>
      </w:r>
      <w:r w:rsidRPr="003840AC">
        <w:rPr>
          <w:rFonts w:ascii="Arial" w:hAnsi="Arial" w:cs="Arial"/>
          <w:sz w:val="20"/>
          <w:szCs w:val="20"/>
        </w:rPr>
        <w:t>станавливаться:</w:t>
      </w:r>
    </w:p>
    <w:p w:rsidR="002319CC" w:rsidRPr="002319CC" w:rsidRDefault="00D346C4" w:rsidP="002319CC">
      <w:pPr>
        <w:pStyle w:val="ad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</w:t>
      </w:r>
      <w:r w:rsidR="002319CC" w:rsidRPr="002319CC">
        <w:rPr>
          <w:rFonts w:ascii="Arial" w:hAnsi="Arial" w:cs="Arial"/>
          <w:sz w:val="20"/>
          <w:szCs w:val="20"/>
        </w:rPr>
        <w:t>границе земельного участка (при наличии технической возможности установки);</w:t>
      </w:r>
    </w:p>
    <w:p w:rsidR="002319CC" w:rsidRPr="002319CC" w:rsidRDefault="002319CC" w:rsidP="002319CC">
      <w:pPr>
        <w:pStyle w:val="ad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 w:rsidRPr="002319CC">
        <w:rPr>
          <w:rFonts w:ascii="Arial" w:hAnsi="Arial" w:cs="Arial"/>
          <w:sz w:val="20"/>
          <w:szCs w:val="20"/>
        </w:rPr>
        <w:t>н</w:t>
      </w:r>
      <w:r>
        <w:rPr>
          <w:rFonts w:ascii="Arial" w:hAnsi="Arial" w:cs="Arial"/>
          <w:sz w:val="20"/>
          <w:szCs w:val="20"/>
        </w:rPr>
        <w:t xml:space="preserve">а </w:t>
      </w:r>
      <w:r w:rsidR="00D346C4">
        <w:rPr>
          <w:rFonts w:ascii="Arial" w:hAnsi="Arial" w:cs="Arial"/>
          <w:sz w:val="20"/>
          <w:szCs w:val="20"/>
        </w:rPr>
        <w:t>опоре воздушной линии 0,4кВ</w:t>
      </w:r>
      <w:r w:rsidR="00D346C4" w:rsidRPr="00D346C4">
        <w:rPr>
          <w:rFonts w:ascii="Arial" w:hAnsi="Arial" w:cs="Arial"/>
          <w:sz w:val="20"/>
          <w:szCs w:val="20"/>
        </w:rPr>
        <w:t>;</w:t>
      </w:r>
    </w:p>
    <w:p w:rsidR="002319CC" w:rsidRPr="002319CC" w:rsidRDefault="00D346C4" w:rsidP="002319CC">
      <w:pPr>
        <w:pStyle w:val="ad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</w:t>
      </w:r>
      <w:r w:rsidR="002319CC" w:rsidRPr="002319CC">
        <w:rPr>
          <w:rFonts w:ascii="Arial" w:hAnsi="Arial" w:cs="Arial"/>
          <w:sz w:val="20"/>
          <w:szCs w:val="20"/>
        </w:rPr>
        <w:t>заборе как при воздушной подводке, так и при кабельном подключении (при наличии технической возможности)</w:t>
      </w:r>
      <w:r w:rsidR="002319CC">
        <w:rPr>
          <w:rFonts w:ascii="Arial" w:hAnsi="Arial" w:cs="Arial"/>
          <w:sz w:val="20"/>
          <w:szCs w:val="20"/>
        </w:rPr>
        <w:t>.</w:t>
      </w:r>
      <w:r w:rsidR="002319CC" w:rsidRPr="002319CC">
        <w:rPr>
          <w:rFonts w:ascii="Arial" w:hAnsi="Arial" w:cs="Arial"/>
          <w:sz w:val="20"/>
          <w:szCs w:val="20"/>
        </w:rPr>
        <w:t xml:space="preserve"> </w:t>
      </w:r>
      <w:r w:rsidR="002319CC" w:rsidRPr="0008644C">
        <w:rPr>
          <w:rFonts w:ascii="Arial" w:hAnsi="Arial" w:cs="Arial"/>
          <w:sz w:val="20"/>
          <w:szCs w:val="20"/>
        </w:rPr>
        <w:t>Рекомендуется высота установки выносного щита на высоте 1,5 м. от уровня земли до низа щита.</w:t>
      </w:r>
    </w:p>
    <w:p w:rsidR="002319CC" w:rsidRPr="002319CC" w:rsidRDefault="002319CC" w:rsidP="002319CC">
      <w:pPr>
        <w:pStyle w:val="ad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 w:rsidRPr="002319CC">
        <w:rPr>
          <w:rFonts w:ascii="Arial" w:hAnsi="Arial" w:cs="Arial"/>
          <w:sz w:val="20"/>
          <w:szCs w:val="20"/>
        </w:rPr>
        <w:t>в иных местах установка допускается при согласовании с Обособленным подразделением</w:t>
      </w:r>
      <w:r>
        <w:rPr>
          <w:rFonts w:ascii="Arial" w:hAnsi="Arial" w:cs="Arial"/>
          <w:sz w:val="20"/>
          <w:szCs w:val="20"/>
        </w:rPr>
        <w:t xml:space="preserve"> </w:t>
      </w:r>
      <w:r w:rsidRPr="002319CC">
        <w:rPr>
          <w:rFonts w:ascii="Arial" w:hAnsi="Arial" w:cs="Arial"/>
          <w:sz w:val="20"/>
          <w:szCs w:val="20"/>
        </w:rPr>
        <w:t>ОАО «ВОЭК», обслуживающим данную территорию.</w:t>
      </w:r>
    </w:p>
    <w:p w:rsidR="00D346C4" w:rsidRDefault="00D346C4">
      <w:pPr>
        <w:rPr>
          <w:rFonts w:ascii="Arial" w:hAnsi="Arial" w:cs="Arial"/>
          <w:b/>
          <w:sz w:val="20"/>
          <w:szCs w:val="20"/>
          <w:highlight w:val="lightGray"/>
          <w:lang w:eastAsia="ru-RU"/>
        </w:rPr>
      </w:pPr>
      <w:r>
        <w:rPr>
          <w:rFonts w:ascii="Arial" w:hAnsi="Arial" w:cs="Arial"/>
          <w:b/>
          <w:sz w:val="20"/>
          <w:szCs w:val="20"/>
          <w:highlight w:val="lightGray"/>
          <w:lang w:eastAsia="ru-RU"/>
        </w:rPr>
        <w:br w:type="page"/>
      </w:r>
    </w:p>
    <w:p w:rsidR="00B904CC" w:rsidRPr="0008644C" w:rsidRDefault="00B904CC" w:rsidP="00B479E5">
      <w:pPr>
        <w:spacing w:line="360" w:lineRule="auto"/>
        <w:rPr>
          <w:rFonts w:ascii="Arial" w:hAnsi="Arial" w:cs="Arial"/>
          <w:b/>
          <w:sz w:val="20"/>
          <w:szCs w:val="20"/>
          <w:lang w:eastAsia="ru-RU"/>
        </w:rPr>
      </w:pPr>
      <w:r w:rsidRPr="00B904CC">
        <w:rPr>
          <w:rFonts w:ascii="Arial" w:hAnsi="Arial" w:cs="Arial"/>
          <w:b/>
          <w:sz w:val="20"/>
          <w:szCs w:val="20"/>
          <w:highlight w:val="lightGray"/>
          <w:lang w:eastAsia="ru-RU"/>
        </w:rPr>
        <w:lastRenderedPageBreak/>
        <w:t>Установка прибора учета, входящего в состав измерительного комплекса, на опоре для физических и юридических лиц</w:t>
      </w:r>
    </w:p>
    <w:p w:rsidR="00B904CC" w:rsidRPr="0008644C" w:rsidRDefault="009D15C9" w:rsidP="009D15C9">
      <w:pPr>
        <w:spacing w:line="360" w:lineRule="auto"/>
        <w:jc w:val="center"/>
        <w:rPr>
          <w:rFonts w:ascii="Arial" w:hAnsi="Arial" w:cs="Arial"/>
          <w:b/>
          <w:sz w:val="20"/>
          <w:szCs w:val="20"/>
          <w:lang w:eastAsia="ru-RU"/>
        </w:rPr>
      </w:pPr>
      <w:r>
        <w:rPr>
          <w:rFonts w:ascii="Arial" w:hAnsi="Arial" w:cs="Arial"/>
          <w:b/>
          <w:noProof/>
          <w:sz w:val="20"/>
          <w:szCs w:val="20"/>
          <w:lang w:eastAsia="ru-RU"/>
        </w:rPr>
        <w:drawing>
          <wp:inline distT="0" distB="0" distL="0" distR="0">
            <wp:extent cx="2326585" cy="2490557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995" cy="2495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eastAsia="ru-RU"/>
        </w:rPr>
      </w:pPr>
      <w:r w:rsidRPr="0008644C">
        <w:rPr>
          <w:rFonts w:ascii="Arial" w:hAnsi="Arial" w:cs="Arial"/>
          <w:sz w:val="20"/>
          <w:szCs w:val="20"/>
        </w:rPr>
        <w:t>Прибор учета устанавливается на опоре в разрыв провода ввода</w:t>
      </w:r>
      <w:r w:rsidRPr="0008644C">
        <w:rPr>
          <w:rFonts w:ascii="Arial" w:hAnsi="Arial" w:cs="Arial"/>
          <w:sz w:val="20"/>
          <w:szCs w:val="20"/>
          <w:lang w:eastAsia="ru-RU"/>
        </w:rPr>
        <w:t>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  <w:lang w:eastAsia="ru-RU"/>
        </w:rPr>
      </w:pPr>
      <w:r w:rsidRPr="00B904CC">
        <w:rPr>
          <w:rFonts w:ascii="Arial" w:hAnsi="Arial" w:cs="Arial"/>
          <w:b/>
          <w:bCs/>
          <w:sz w:val="20"/>
          <w:szCs w:val="20"/>
          <w:highlight w:val="lightGray"/>
          <w:lang w:eastAsia="ru-RU"/>
        </w:rPr>
        <w:t>Иные места установки допускаются при согласовании с обособленным подразделением ОАО «ВОЭК», обслуживающих данную территорию.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  <w:szCs w:val="20"/>
          <w:lang w:eastAsia="ru-RU"/>
        </w:rPr>
      </w:pPr>
    </w:p>
    <w:p w:rsidR="00B904CC" w:rsidRPr="0008644C" w:rsidRDefault="00B904CC" w:rsidP="00D346C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object w:dxaOrig="2295" w:dyaOrig="2040">
          <v:shape id="_x0000_i1030" type="#_x0000_t75" style="width:157.15pt;height:139.6pt" o:ole="">
            <v:imagedata r:id="rId22" o:title=""/>
          </v:shape>
          <o:OLEObject Type="Embed" ProgID="PBrush" ShapeID="_x0000_i1030" DrawAspect="Content" ObjectID="_1488088781" r:id="rId23"/>
        </w:object>
      </w:r>
    </w:p>
    <w:p w:rsidR="00B904CC" w:rsidRPr="0008644C" w:rsidRDefault="00B904CC" w:rsidP="00B479E5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</w:pPr>
      <w:r w:rsidRPr="0008644C"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>Для коллективного (общедомового) прибора учета в МКД:</w:t>
      </w:r>
    </w:p>
    <w:p w:rsidR="00B904CC" w:rsidRPr="0008644C" w:rsidRDefault="00B904CC" w:rsidP="00D346C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object w:dxaOrig="1545" w:dyaOrig="1665">
          <v:shape id="_x0000_i1031" type="#_x0000_t75" style="width:167.8pt;height:179.7pt" o:ole="">
            <v:imagedata r:id="rId24" o:title=""/>
          </v:shape>
          <o:OLEObject Type="Embed" ProgID="PBrush" ShapeID="_x0000_i1031" DrawAspect="Content" ObjectID="_1488088782" r:id="rId25"/>
        </w:object>
      </w:r>
    </w:p>
    <w:p w:rsidR="00D346C4" w:rsidRDefault="00E12114" w:rsidP="00D346C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lastRenderedPageBreak/>
        <w:t>Прибор учета устанавливается на границе раздела балансовой принадлежности</w:t>
      </w:r>
      <w:r w:rsidR="00D346C4">
        <w:rPr>
          <w:rFonts w:ascii="Arial" w:hAnsi="Arial" w:cs="Arial"/>
          <w:sz w:val="20"/>
          <w:szCs w:val="20"/>
        </w:rPr>
        <w:t>.</w:t>
      </w:r>
      <w:r w:rsidR="00D346C4" w:rsidRPr="00D346C4">
        <w:rPr>
          <w:rFonts w:ascii="Arial" w:hAnsi="Arial" w:cs="Arial"/>
          <w:sz w:val="20"/>
          <w:szCs w:val="20"/>
        </w:rPr>
        <w:t xml:space="preserve"> </w:t>
      </w:r>
      <w:r w:rsidR="00D346C4" w:rsidRPr="0008644C">
        <w:rPr>
          <w:rFonts w:ascii="Arial" w:hAnsi="Arial" w:cs="Arial"/>
          <w:sz w:val="20"/>
          <w:szCs w:val="20"/>
        </w:rPr>
        <w:t xml:space="preserve">При отсутствии технической возможности установки прибора учета на границе балансовой принадлежности прибор учета подлежит установке в месте, максимально приближенном к границе балансовой принадлежности, в котором имеется техническая возможность его установки. </w:t>
      </w:r>
    </w:p>
    <w:p w:rsidR="00D346C4" w:rsidRPr="0008644C" w:rsidRDefault="00D346C4" w:rsidP="00D346C4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Прибор учета может у</w:t>
      </w:r>
      <w:r w:rsidRPr="003840AC">
        <w:rPr>
          <w:rFonts w:ascii="Arial" w:hAnsi="Arial" w:cs="Arial"/>
          <w:sz w:val="20"/>
          <w:szCs w:val="20"/>
        </w:rPr>
        <w:t>станавливаться:</w:t>
      </w:r>
    </w:p>
    <w:p w:rsidR="00E12114" w:rsidRPr="0008644C" w:rsidRDefault="00D346C4" w:rsidP="00E12114">
      <w:pPr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ф</w:t>
      </w:r>
      <w:r w:rsidR="00E12114" w:rsidRPr="0008644C">
        <w:rPr>
          <w:rFonts w:ascii="Arial" w:hAnsi="Arial" w:cs="Arial"/>
          <w:sz w:val="20"/>
          <w:szCs w:val="20"/>
        </w:rPr>
        <w:t>асад</w:t>
      </w:r>
      <w:r>
        <w:rPr>
          <w:rFonts w:ascii="Arial" w:hAnsi="Arial" w:cs="Arial"/>
          <w:sz w:val="20"/>
          <w:szCs w:val="20"/>
        </w:rPr>
        <w:t>е</w:t>
      </w:r>
      <w:r w:rsidR="00E12114" w:rsidRPr="0008644C">
        <w:rPr>
          <w:rFonts w:ascii="Arial" w:hAnsi="Arial" w:cs="Arial"/>
          <w:sz w:val="20"/>
          <w:szCs w:val="20"/>
        </w:rPr>
        <w:t xml:space="preserve"> строения</w:t>
      </w:r>
      <w:r w:rsidR="005C75A6">
        <w:rPr>
          <w:rFonts w:ascii="Arial" w:hAnsi="Arial" w:cs="Arial"/>
          <w:sz w:val="20"/>
          <w:szCs w:val="20"/>
        </w:rPr>
        <w:t xml:space="preserve">. </w:t>
      </w:r>
      <w:r w:rsidR="005C75A6" w:rsidRPr="0008644C">
        <w:rPr>
          <w:rFonts w:ascii="Arial" w:hAnsi="Arial" w:cs="Arial"/>
          <w:sz w:val="20"/>
          <w:szCs w:val="20"/>
        </w:rPr>
        <w:t xml:space="preserve">Рекомендуется высота установки выносного щита на высоте 1,5 м. от </w:t>
      </w:r>
      <w:r>
        <w:rPr>
          <w:rFonts w:ascii="Arial" w:hAnsi="Arial" w:cs="Arial"/>
          <w:sz w:val="20"/>
          <w:szCs w:val="20"/>
        </w:rPr>
        <w:tab/>
      </w:r>
      <w:r w:rsidR="005C75A6" w:rsidRPr="0008644C">
        <w:rPr>
          <w:rFonts w:ascii="Arial" w:hAnsi="Arial" w:cs="Arial"/>
          <w:sz w:val="20"/>
          <w:szCs w:val="20"/>
        </w:rPr>
        <w:t>уровня земли до низа щита</w:t>
      </w:r>
      <w:proofErr w:type="gramStart"/>
      <w:r w:rsidR="005C75A6" w:rsidRPr="0008644C">
        <w:rPr>
          <w:rFonts w:ascii="Arial" w:hAnsi="Arial" w:cs="Arial"/>
          <w:sz w:val="20"/>
          <w:szCs w:val="20"/>
        </w:rPr>
        <w:t>.</w:t>
      </w:r>
      <w:r w:rsidR="00E12114" w:rsidRPr="0008644C">
        <w:rPr>
          <w:rFonts w:ascii="Arial" w:hAnsi="Arial" w:cs="Arial"/>
          <w:sz w:val="20"/>
          <w:szCs w:val="20"/>
        </w:rPr>
        <w:t>;</w:t>
      </w:r>
      <w:proofErr w:type="gramEnd"/>
    </w:p>
    <w:p w:rsidR="00E12114" w:rsidRPr="0008644C" w:rsidRDefault="00D346C4" w:rsidP="00E12114">
      <w:pPr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</w:t>
      </w:r>
      <w:r w:rsidR="00672479"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z w:val="20"/>
          <w:szCs w:val="20"/>
        </w:rPr>
        <w:t>о</w:t>
      </w:r>
      <w:r w:rsidR="00672479">
        <w:rPr>
          <w:rFonts w:ascii="Arial" w:hAnsi="Arial" w:cs="Arial"/>
          <w:sz w:val="20"/>
          <w:szCs w:val="20"/>
        </w:rPr>
        <w:t>дно-распределительном устройстве</w:t>
      </w:r>
      <w:r w:rsidR="005C75A6" w:rsidRPr="005C75A6">
        <w:rPr>
          <w:rFonts w:ascii="Arial" w:hAnsi="Arial" w:cs="Arial"/>
          <w:sz w:val="20"/>
          <w:szCs w:val="20"/>
        </w:rPr>
        <w:t>;</w:t>
      </w:r>
    </w:p>
    <w:p w:rsidR="00E12114" w:rsidRDefault="00D346C4" w:rsidP="00E12114">
      <w:pPr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распределительном устройстве </w:t>
      </w:r>
      <w:r w:rsidR="00E12114" w:rsidRPr="0008644C">
        <w:rPr>
          <w:rFonts w:ascii="Arial" w:hAnsi="Arial" w:cs="Arial"/>
          <w:sz w:val="20"/>
          <w:szCs w:val="20"/>
        </w:rPr>
        <w:t xml:space="preserve">0,4кВ </w:t>
      </w:r>
      <w:r>
        <w:rPr>
          <w:rFonts w:ascii="Arial" w:hAnsi="Arial" w:cs="Arial"/>
          <w:sz w:val="20"/>
          <w:szCs w:val="20"/>
        </w:rPr>
        <w:t>трансформаторной подстанции</w:t>
      </w:r>
      <w:r w:rsidR="00E12114" w:rsidRPr="0008644C">
        <w:rPr>
          <w:rFonts w:ascii="Arial" w:hAnsi="Arial" w:cs="Arial"/>
          <w:sz w:val="20"/>
          <w:szCs w:val="20"/>
        </w:rPr>
        <w:t>;</w:t>
      </w:r>
    </w:p>
    <w:p w:rsidR="005C75A6" w:rsidRDefault="005C75A6" w:rsidP="00E12114">
      <w:pPr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опорах </w:t>
      </w:r>
      <w:r w:rsidR="00672479">
        <w:rPr>
          <w:rFonts w:ascii="Arial" w:hAnsi="Arial" w:cs="Arial"/>
          <w:sz w:val="20"/>
          <w:szCs w:val="20"/>
        </w:rPr>
        <w:t>воздушной линии электропередачи</w:t>
      </w:r>
      <w:r w:rsidRPr="005C75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(в случае питания сооружения от </w:t>
      </w:r>
      <w:proofErr w:type="gramStart"/>
      <w:r w:rsidR="00672479">
        <w:rPr>
          <w:rFonts w:ascii="Arial" w:hAnsi="Arial" w:cs="Arial"/>
          <w:sz w:val="20"/>
          <w:szCs w:val="20"/>
        </w:rPr>
        <w:t>ВЛ</w:t>
      </w:r>
      <w:proofErr w:type="gramEnd"/>
      <w:r>
        <w:rPr>
          <w:rFonts w:ascii="Arial" w:hAnsi="Arial" w:cs="Arial"/>
          <w:sz w:val="20"/>
          <w:szCs w:val="20"/>
        </w:rPr>
        <w:t>)</w:t>
      </w:r>
      <w:r w:rsidRPr="005C75A6">
        <w:rPr>
          <w:rFonts w:ascii="Arial" w:hAnsi="Arial" w:cs="Arial"/>
          <w:sz w:val="20"/>
          <w:szCs w:val="20"/>
        </w:rPr>
        <w:t>;</w:t>
      </w:r>
    </w:p>
    <w:p w:rsidR="005C75A6" w:rsidRPr="0008644C" w:rsidRDefault="005C75A6" w:rsidP="00E12114">
      <w:pPr>
        <w:numPr>
          <w:ilvl w:val="0"/>
          <w:numId w:val="9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 w:rsidRPr="002319CC">
        <w:rPr>
          <w:rFonts w:ascii="Arial" w:hAnsi="Arial" w:cs="Arial"/>
          <w:sz w:val="20"/>
          <w:szCs w:val="20"/>
        </w:rPr>
        <w:t>в иных местах установка допускается при согласовании с Обособленным подразделением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2319CC">
        <w:rPr>
          <w:rFonts w:ascii="Arial" w:hAnsi="Arial" w:cs="Arial"/>
          <w:sz w:val="20"/>
          <w:szCs w:val="20"/>
        </w:rPr>
        <w:t>ОАО «ВОЭК», обслуживающим данную территорию.</w:t>
      </w:r>
    </w:p>
    <w:p w:rsidR="005C75A6" w:rsidRDefault="005C75A6" w:rsidP="00E1211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B904CC" w:rsidRPr="0008644C" w:rsidRDefault="00B904CC" w:rsidP="00B479E5">
      <w:pPr>
        <w:pStyle w:val="ad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</w:pPr>
      <w:r w:rsidRPr="0008644C"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>Для приборов учета юридических лиц или индивидуальных предпринимателей:</w:t>
      </w:r>
    </w:p>
    <w:p w:rsidR="00672479" w:rsidRDefault="00B904CC" w:rsidP="0067247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Прибор учета устанавливается на границе раздела балансовой принадлежности</w:t>
      </w:r>
      <w:r w:rsidR="00672479">
        <w:rPr>
          <w:rFonts w:ascii="Arial" w:hAnsi="Arial" w:cs="Arial"/>
          <w:sz w:val="20"/>
          <w:szCs w:val="20"/>
        </w:rPr>
        <w:t>.</w:t>
      </w:r>
      <w:r w:rsidR="00672479" w:rsidRPr="00672479">
        <w:rPr>
          <w:rFonts w:ascii="Arial" w:hAnsi="Arial" w:cs="Arial"/>
          <w:sz w:val="20"/>
          <w:szCs w:val="20"/>
        </w:rPr>
        <w:t xml:space="preserve"> </w:t>
      </w:r>
      <w:r w:rsidR="00672479" w:rsidRPr="0008644C">
        <w:rPr>
          <w:rFonts w:ascii="Arial" w:hAnsi="Arial" w:cs="Arial"/>
          <w:sz w:val="20"/>
          <w:szCs w:val="20"/>
        </w:rPr>
        <w:t xml:space="preserve">При отсутствии технической возможности установки прибора учета на границе балансовой принадлежности прибор учета подлежит установке в месте, максимально приближенном к границе балансовой принадлежности, в котором имеется техническая возможность его установки. </w:t>
      </w:r>
    </w:p>
    <w:p w:rsidR="00B904CC" w:rsidRPr="0008644C" w:rsidRDefault="00672479" w:rsidP="00672479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Прибор учета может у</w:t>
      </w:r>
      <w:r w:rsidRPr="003840AC">
        <w:rPr>
          <w:rFonts w:ascii="Arial" w:hAnsi="Arial" w:cs="Arial"/>
          <w:sz w:val="20"/>
          <w:szCs w:val="20"/>
        </w:rPr>
        <w:t>станавливаться:</w:t>
      </w:r>
    </w:p>
    <w:p w:rsidR="00B904CC" w:rsidRPr="0008644C" w:rsidRDefault="00672479" w:rsidP="00DD66C5">
      <w:pPr>
        <w:numPr>
          <w:ilvl w:val="0"/>
          <w:numId w:val="10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ф</w:t>
      </w:r>
      <w:r w:rsidR="00B904CC" w:rsidRPr="0008644C">
        <w:rPr>
          <w:rFonts w:ascii="Arial" w:hAnsi="Arial" w:cs="Arial"/>
          <w:sz w:val="20"/>
          <w:szCs w:val="20"/>
        </w:rPr>
        <w:t>асад</w:t>
      </w:r>
      <w:r>
        <w:rPr>
          <w:rFonts w:ascii="Arial" w:hAnsi="Arial" w:cs="Arial"/>
          <w:sz w:val="20"/>
          <w:szCs w:val="20"/>
        </w:rPr>
        <w:t>е</w:t>
      </w:r>
      <w:r w:rsidR="00B904CC" w:rsidRPr="0008644C">
        <w:rPr>
          <w:rFonts w:ascii="Arial" w:hAnsi="Arial" w:cs="Arial"/>
          <w:sz w:val="20"/>
          <w:szCs w:val="20"/>
        </w:rPr>
        <w:t xml:space="preserve"> строения;</w:t>
      </w:r>
    </w:p>
    <w:p w:rsidR="00B904CC" w:rsidRDefault="00672479" w:rsidP="00DD66C5">
      <w:pPr>
        <w:numPr>
          <w:ilvl w:val="0"/>
          <w:numId w:val="10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на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г</w:t>
      </w:r>
      <w:r w:rsidR="00B904CC" w:rsidRPr="0008644C">
        <w:rPr>
          <w:rFonts w:ascii="Arial" w:hAnsi="Arial" w:cs="Arial"/>
          <w:sz w:val="20"/>
          <w:szCs w:val="20"/>
        </w:rPr>
        <w:t>раница</w:t>
      </w:r>
      <w:proofErr w:type="gramEnd"/>
      <w:r w:rsidR="00B904CC" w:rsidRPr="0008644C">
        <w:rPr>
          <w:rFonts w:ascii="Arial" w:hAnsi="Arial" w:cs="Arial"/>
          <w:sz w:val="20"/>
          <w:szCs w:val="20"/>
        </w:rPr>
        <w:t xml:space="preserve"> земельного участка</w:t>
      </w:r>
      <w:r>
        <w:rPr>
          <w:rFonts w:ascii="Arial" w:hAnsi="Arial" w:cs="Arial"/>
          <w:sz w:val="20"/>
          <w:szCs w:val="20"/>
        </w:rPr>
        <w:t xml:space="preserve"> (при наличии технической возможности)</w:t>
      </w:r>
      <w:r w:rsidR="00B904CC" w:rsidRPr="0008644C">
        <w:rPr>
          <w:rFonts w:ascii="Arial" w:hAnsi="Arial" w:cs="Arial"/>
          <w:sz w:val="20"/>
          <w:szCs w:val="20"/>
        </w:rPr>
        <w:t>;</w:t>
      </w:r>
    </w:p>
    <w:p w:rsidR="003A373C" w:rsidRPr="0008644C" w:rsidRDefault="00672479" w:rsidP="00DD66C5">
      <w:pPr>
        <w:numPr>
          <w:ilvl w:val="0"/>
          <w:numId w:val="10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вводно-распределительном устройстве</w:t>
      </w:r>
      <w:r w:rsidRPr="005C75A6">
        <w:rPr>
          <w:rFonts w:ascii="Arial" w:hAnsi="Arial" w:cs="Arial"/>
          <w:sz w:val="20"/>
          <w:szCs w:val="20"/>
        </w:rPr>
        <w:t>;</w:t>
      </w:r>
    </w:p>
    <w:p w:rsidR="00672479" w:rsidRDefault="00672479" w:rsidP="00DD66C5">
      <w:pPr>
        <w:numPr>
          <w:ilvl w:val="0"/>
          <w:numId w:val="10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распределительном устройстве </w:t>
      </w:r>
      <w:r w:rsidRPr="0008644C">
        <w:rPr>
          <w:rFonts w:ascii="Arial" w:hAnsi="Arial" w:cs="Arial"/>
          <w:sz w:val="20"/>
          <w:szCs w:val="20"/>
        </w:rPr>
        <w:t xml:space="preserve">0,4кВ </w:t>
      </w:r>
      <w:r>
        <w:rPr>
          <w:rFonts w:ascii="Arial" w:hAnsi="Arial" w:cs="Arial"/>
          <w:sz w:val="20"/>
          <w:szCs w:val="20"/>
        </w:rPr>
        <w:t>трансформаторной подстанции</w:t>
      </w:r>
      <w:r w:rsidRPr="0008644C">
        <w:rPr>
          <w:rFonts w:ascii="Arial" w:hAnsi="Arial" w:cs="Arial"/>
          <w:sz w:val="20"/>
          <w:szCs w:val="20"/>
        </w:rPr>
        <w:t>;</w:t>
      </w:r>
    </w:p>
    <w:p w:rsidR="00672479" w:rsidRDefault="00672479" w:rsidP="00DD66C5">
      <w:pPr>
        <w:numPr>
          <w:ilvl w:val="0"/>
          <w:numId w:val="10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распределительном устройстве 6-10</w:t>
      </w:r>
      <w:r w:rsidRPr="0008644C">
        <w:rPr>
          <w:rFonts w:ascii="Arial" w:hAnsi="Arial" w:cs="Arial"/>
          <w:sz w:val="20"/>
          <w:szCs w:val="20"/>
        </w:rPr>
        <w:t xml:space="preserve">кВ </w:t>
      </w:r>
      <w:r>
        <w:rPr>
          <w:rFonts w:ascii="Arial" w:hAnsi="Arial" w:cs="Arial"/>
          <w:sz w:val="20"/>
          <w:szCs w:val="20"/>
        </w:rPr>
        <w:t>трансформаторной подстанции</w:t>
      </w:r>
      <w:r w:rsidRPr="0008644C">
        <w:rPr>
          <w:rFonts w:ascii="Arial" w:hAnsi="Arial" w:cs="Arial"/>
          <w:sz w:val="20"/>
          <w:szCs w:val="20"/>
        </w:rPr>
        <w:t>;</w:t>
      </w:r>
    </w:p>
    <w:p w:rsidR="00B904CC" w:rsidRPr="0008644C" w:rsidRDefault="00672479" w:rsidP="00DD66C5">
      <w:pPr>
        <w:numPr>
          <w:ilvl w:val="0"/>
          <w:numId w:val="10"/>
        </w:numPr>
        <w:spacing w:line="360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</w:t>
      </w:r>
      <w:r w:rsidR="00B904CC" w:rsidRPr="0008644C">
        <w:rPr>
          <w:rFonts w:ascii="Arial" w:hAnsi="Arial" w:cs="Arial"/>
          <w:sz w:val="20"/>
          <w:szCs w:val="20"/>
        </w:rPr>
        <w:t>а отпайках от линий 6-10кВ;</w:t>
      </w:r>
    </w:p>
    <w:p w:rsidR="00672479" w:rsidRDefault="00672479" w:rsidP="00B479E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B904CC" w:rsidRPr="00C86B91" w:rsidRDefault="00B904CC" w:rsidP="00B479E5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5D4A90">
        <w:rPr>
          <w:rFonts w:ascii="Arial" w:hAnsi="Arial" w:cs="Arial"/>
          <w:sz w:val="20"/>
          <w:szCs w:val="20"/>
        </w:rPr>
        <w:t xml:space="preserve">При монтаже счетчика электрической энергии на опоре </w:t>
      </w:r>
      <w:proofErr w:type="gramStart"/>
      <w:r w:rsidRPr="005D4A90">
        <w:rPr>
          <w:rFonts w:ascii="Arial" w:hAnsi="Arial" w:cs="Arial"/>
          <w:sz w:val="20"/>
          <w:szCs w:val="20"/>
        </w:rPr>
        <w:t>ВЛ</w:t>
      </w:r>
      <w:proofErr w:type="gramEnd"/>
      <w:r w:rsidRPr="005D4A90">
        <w:rPr>
          <w:rFonts w:ascii="Arial" w:hAnsi="Arial" w:cs="Arial"/>
          <w:sz w:val="20"/>
          <w:szCs w:val="20"/>
        </w:rPr>
        <w:t xml:space="preserve"> 0,4 кВ, счетчик подлежит установке в отдельном запирающемся шкафу наружной установки со степенью защиты от проникновения воды и посторонних предметов, соответствующий </w:t>
      </w:r>
      <w:r w:rsidRPr="005D4A90">
        <w:rPr>
          <w:rFonts w:ascii="Arial" w:hAnsi="Arial" w:cs="Arial"/>
          <w:sz w:val="20"/>
          <w:szCs w:val="20"/>
          <w:lang w:val="en-US"/>
        </w:rPr>
        <w:t>IP</w:t>
      </w:r>
      <w:r w:rsidRPr="005D4A90">
        <w:rPr>
          <w:rFonts w:ascii="Arial" w:hAnsi="Arial" w:cs="Arial"/>
          <w:sz w:val="20"/>
          <w:szCs w:val="20"/>
        </w:rPr>
        <w:t xml:space="preserve"> 54 по ГОСТ 14254-96. В случае установки счетчика электрической энергии с выносным отображающим устройством (дисплеем), счетчик подлежит установке в месте подключения отходящей линии (ввода) к сетям электроснабжения. В шкафу перед счетчиком должен быть предусмотрен аппарат защиты от короткого замыкания во внутридомовой сети, выбранный по расчетному току сети, имеющий устройство для пломбирования или маркирования исключающее доступ к контактам (при отсутствии в ШУ </w:t>
      </w:r>
      <w:proofErr w:type="spellStart"/>
      <w:r w:rsidRPr="005D4A90">
        <w:rPr>
          <w:rFonts w:ascii="Arial" w:hAnsi="Arial" w:cs="Arial"/>
          <w:sz w:val="20"/>
          <w:szCs w:val="20"/>
        </w:rPr>
        <w:t>фальшпанели</w:t>
      </w:r>
      <w:proofErr w:type="spellEnd"/>
      <w:r w:rsidRPr="005D4A90">
        <w:rPr>
          <w:rFonts w:ascii="Arial" w:hAnsi="Arial" w:cs="Arial"/>
          <w:sz w:val="20"/>
          <w:szCs w:val="20"/>
        </w:rPr>
        <w:t xml:space="preserve"> с возможностью пломбирования). Внутридомовую сеть к счетчику прямого включения подключить непосредственно к выходным (нагрузочным) клеммам счетчика в соответствии со схемой, указанной в паспорте применяемого счетчика. Монтаж шкафа учета выполнить по нормам безопасности от поражения </w:t>
      </w:r>
      <w:r w:rsidRPr="005D4A90">
        <w:rPr>
          <w:rFonts w:ascii="Arial" w:hAnsi="Arial" w:cs="Arial"/>
          <w:sz w:val="20"/>
          <w:szCs w:val="20"/>
        </w:rPr>
        <w:lastRenderedPageBreak/>
        <w:t xml:space="preserve">электрическим током и возгорания. Должны быть выполнены мероприятия по защите от хищения электрической энергии путем замены неизолированного ввода на </w:t>
      </w:r>
      <w:proofErr w:type="gramStart"/>
      <w:r w:rsidRPr="005D4A90">
        <w:rPr>
          <w:rFonts w:ascii="Arial" w:hAnsi="Arial" w:cs="Arial"/>
          <w:sz w:val="20"/>
          <w:szCs w:val="20"/>
        </w:rPr>
        <w:t>изолированный</w:t>
      </w:r>
      <w:proofErr w:type="gramEnd"/>
      <w:r w:rsidRPr="005D4A90">
        <w:rPr>
          <w:rFonts w:ascii="Arial" w:hAnsi="Arial" w:cs="Arial"/>
          <w:sz w:val="20"/>
          <w:szCs w:val="20"/>
        </w:rPr>
        <w:t xml:space="preserve"> (кабельный).</w:t>
      </w:r>
    </w:p>
    <w:p w:rsidR="00B904CC" w:rsidRDefault="00B904CC" w:rsidP="0007110E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sz w:val="20"/>
          <w:szCs w:val="20"/>
        </w:rPr>
        <w:t>Иные места установки допускаются при согласовании с Обособленным подразделением                ОАО «ВОЭК», обслуживающим данную территорию.</w:t>
      </w:r>
    </w:p>
    <w:p w:rsidR="00B904CC" w:rsidRPr="0008644C" w:rsidRDefault="00B904CC" w:rsidP="00B479E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346C4" w:rsidRDefault="00D346C4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B904CC" w:rsidRPr="0008644C" w:rsidRDefault="00B904CC" w:rsidP="00B479E5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6.</w:t>
      </w:r>
      <w:r w:rsidRPr="0008644C">
        <w:rPr>
          <w:rFonts w:ascii="Arial" w:hAnsi="Arial" w:cs="Arial"/>
          <w:b/>
          <w:sz w:val="20"/>
          <w:szCs w:val="20"/>
        </w:rPr>
        <w:t xml:space="preserve"> Типовые схемы подключения приборов учета</w:t>
      </w:r>
    </w:p>
    <w:p w:rsidR="00B904CC" w:rsidRPr="0008644C" w:rsidRDefault="00B904CC" w:rsidP="00B479E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04CC" w:rsidRDefault="00C16611" w:rsidP="00B479E5">
      <w:pPr>
        <w:keepNext/>
        <w:spacing w:line="360" w:lineRule="auto"/>
        <w:jc w:val="center"/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3673475" cy="2266315"/>
            <wp:effectExtent l="0" t="0" r="3175" b="635"/>
            <wp:docPr id="9" name="Рисунок 4" descr="Описание: http://www.udmene.ru/images/S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www.udmene.ru/images/Sha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CC" w:rsidRPr="00D41737" w:rsidRDefault="00B904CC" w:rsidP="00B479E5">
      <w:pPr>
        <w:pStyle w:val="ae"/>
        <w:jc w:val="center"/>
        <w:rPr>
          <w:rFonts w:ascii="Arial" w:hAnsi="Arial" w:cs="Arial"/>
          <w:color w:val="auto"/>
        </w:rPr>
      </w:pPr>
      <w:r w:rsidRPr="00D41737">
        <w:rPr>
          <w:rFonts w:ascii="Arial" w:hAnsi="Arial" w:cs="Arial"/>
          <w:color w:val="auto"/>
        </w:rPr>
        <w:t xml:space="preserve">Рисунок </w:t>
      </w:r>
      <w:r w:rsidR="00A04D1D" w:rsidRPr="00D41737">
        <w:rPr>
          <w:rFonts w:ascii="Arial" w:hAnsi="Arial" w:cs="Arial"/>
          <w:color w:val="auto"/>
        </w:rPr>
        <w:fldChar w:fldCharType="begin"/>
      </w:r>
      <w:r w:rsidRPr="00D41737">
        <w:rPr>
          <w:rFonts w:ascii="Arial" w:hAnsi="Arial" w:cs="Arial"/>
          <w:color w:val="auto"/>
        </w:rPr>
        <w:instrText xml:space="preserve"> SEQ Рисунок \* ARABIC </w:instrText>
      </w:r>
      <w:r w:rsidR="00A04D1D" w:rsidRPr="00D41737">
        <w:rPr>
          <w:rFonts w:ascii="Arial" w:hAnsi="Arial" w:cs="Arial"/>
          <w:color w:val="auto"/>
        </w:rPr>
        <w:fldChar w:fldCharType="separate"/>
      </w:r>
      <w:r w:rsidR="004B39D4">
        <w:rPr>
          <w:rFonts w:ascii="Arial" w:hAnsi="Arial" w:cs="Arial"/>
          <w:noProof/>
          <w:color w:val="auto"/>
        </w:rPr>
        <w:t>4</w:t>
      </w:r>
      <w:r w:rsidR="00A04D1D" w:rsidRPr="00D41737">
        <w:rPr>
          <w:rFonts w:ascii="Arial" w:hAnsi="Arial" w:cs="Arial"/>
          <w:color w:val="auto"/>
        </w:rPr>
        <w:fldChar w:fldCharType="end"/>
      </w:r>
      <w:r w:rsidRPr="00D41737">
        <w:rPr>
          <w:rFonts w:ascii="Arial" w:hAnsi="Arial" w:cs="Arial"/>
          <w:color w:val="auto"/>
        </w:rPr>
        <w:t>. Схема подключения однофазного счетчика</w:t>
      </w:r>
    </w:p>
    <w:p w:rsidR="00B904CC" w:rsidRDefault="00B904CC" w:rsidP="00B479E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04CC" w:rsidRPr="0008644C" w:rsidRDefault="00B904CC" w:rsidP="00B479E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04CC" w:rsidRDefault="00C16611" w:rsidP="00B479E5">
      <w:pPr>
        <w:keepNext/>
        <w:autoSpaceDE w:val="0"/>
        <w:autoSpaceDN w:val="0"/>
        <w:adjustRightInd w:val="0"/>
        <w:spacing w:line="360" w:lineRule="auto"/>
        <w:jc w:val="center"/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4874260" cy="2671445"/>
            <wp:effectExtent l="0" t="0" r="2540" b="0"/>
            <wp:docPr id="10" name="Рисунок 3" descr="Описание: http://www.udmene.ru/images/Sh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www.udmene.ru/images/Shb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260" cy="267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CC" w:rsidRDefault="00B904CC" w:rsidP="00B479E5">
      <w:pPr>
        <w:pStyle w:val="ae"/>
        <w:spacing w:after="0"/>
        <w:jc w:val="center"/>
        <w:rPr>
          <w:rFonts w:ascii="Arial" w:hAnsi="Arial" w:cs="Arial"/>
          <w:color w:val="auto"/>
        </w:rPr>
      </w:pPr>
      <w:r w:rsidRPr="00D41737">
        <w:rPr>
          <w:rFonts w:ascii="Arial" w:hAnsi="Arial" w:cs="Arial"/>
          <w:color w:val="auto"/>
        </w:rPr>
        <w:t xml:space="preserve">Рисунок </w:t>
      </w:r>
      <w:r w:rsidR="00A04D1D" w:rsidRPr="00D41737">
        <w:rPr>
          <w:rFonts w:ascii="Arial" w:hAnsi="Arial" w:cs="Arial"/>
          <w:color w:val="auto"/>
        </w:rPr>
        <w:fldChar w:fldCharType="begin"/>
      </w:r>
      <w:r w:rsidRPr="00D41737">
        <w:rPr>
          <w:rFonts w:ascii="Arial" w:hAnsi="Arial" w:cs="Arial"/>
          <w:color w:val="auto"/>
        </w:rPr>
        <w:instrText xml:space="preserve"> SEQ Рисунок \* ARABIC </w:instrText>
      </w:r>
      <w:r w:rsidR="00A04D1D" w:rsidRPr="00D41737">
        <w:rPr>
          <w:rFonts w:ascii="Arial" w:hAnsi="Arial" w:cs="Arial"/>
          <w:color w:val="auto"/>
        </w:rPr>
        <w:fldChar w:fldCharType="separate"/>
      </w:r>
      <w:r w:rsidR="004B39D4">
        <w:rPr>
          <w:rFonts w:ascii="Arial" w:hAnsi="Arial" w:cs="Arial"/>
          <w:noProof/>
          <w:color w:val="auto"/>
        </w:rPr>
        <w:t>5</w:t>
      </w:r>
      <w:r w:rsidR="00A04D1D" w:rsidRPr="00D41737">
        <w:rPr>
          <w:rFonts w:ascii="Arial" w:hAnsi="Arial" w:cs="Arial"/>
          <w:color w:val="auto"/>
        </w:rPr>
        <w:fldChar w:fldCharType="end"/>
      </w:r>
      <w:r w:rsidRPr="00D41737">
        <w:rPr>
          <w:rFonts w:ascii="Arial" w:hAnsi="Arial" w:cs="Arial"/>
          <w:color w:val="auto"/>
        </w:rPr>
        <w:t>.</w:t>
      </w:r>
      <w:r>
        <w:rPr>
          <w:rFonts w:ascii="Arial" w:hAnsi="Arial" w:cs="Arial"/>
          <w:color w:val="auto"/>
        </w:rPr>
        <w:t xml:space="preserve"> </w:t>
      </w:r>
      <w:r w:rsidRPr="00D41737">
        <w:rPr>
          <w:rFonts w:ascii="Arial" w:hAnsi="Arial" w:cs="Arial"/>
          <w:color w:val="auto"/>
        </w:rPr>
        <w:t xml:space="preserve">Схема подключения трехфазного электросчетчика </w:t>
      </w:r>
      <w:proofErr w:type="gramStart"/>
      <w:r w:rsidRPr="00D41737">
        <w:rPr>
          <w:rFonts w:ascii="Arial" w:hAnsi="Arial" w:cs="Arial"/>
          <w:color w:val="auto"/>
        </w:rPr>
        <w:t>к</w:t>
      </w:r>
      <w:proofErr w:type="gramEnd"/>
      <w:r w:rsidRPr="00D41737">
        <w:rPr>
          <w:rFonts w:ascii="Arial" w:hAnsi="Arial" w:cs="Arial"/>
          <w:color w:val="auto"/>
        </w:rPr>
        <w:t xml:space="preserve"> </w:t>
      </w:r>
    </w:p>
    <w:p w:rsidR="00B904CC" w:rsidRPr="00D41737" w:rsidRDefault="00B904CC" w:rsidP="00B479E5">
      <w:pPr>
        <w:pStyle w:val="ae"/>
        <w:spacing w:after="0"/>
        <w:jc w:val="center"/>
        <w:rPr>
          <w:rFonts w:ascii="Arial" w:hAnsi="Arial" w:cs="Arial"/>
          <w:color w:val="auto"/>
          <w:sz w:val="20"/>
          <w:szCs w:val="20"/>
        </w:rPr>
      </w:pPr>
      <w:r w:rsidRPr="00D41737">
        <w:rPr>
          <w:rFonts w:ascii="Arial" w:hAnsi="Arial" w:cs="Arial"/>
          <w:color w:val="auto"/>
        </w:rPr>
        <w:t>трехфазной 3-х или 4-х проводной сети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04CC" w:rsidRDefault="00C16611" w:rsidP="00B479E5">
      <w:pPr>
        <w:keepNext/>
        <w:autoSpaceDE w:val="0"/>
        <w:autoSpaceDN w:val="0"/>
        <w:adjustRightInd w:val="0"/>
        <w:spacing w:line="360" w:lineRule="auto"/>
        <w:jc w:val="center"/>
      </w:pPr>
      <w:r>
        <w:rPr>
          <w:rFonts w:ascii="Arial" w:hAnsi="Arial" w:cs="Arial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46705" cy="2544445"/>
            <wp:effectExtent l="0" t="0" r="0" b="8255"/>
            <wp:docPr id="11" name="Рисунок 2" descr="Описание: http://www.udmene.ru/images/S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www.udmene.ru/images/Shv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CC" w:rsidRPr="00D41737" w:rsidRDefault="00B904CC" w:rsidP="00B479E5">
      <w:pPr>
        <w:pStyle w:val="ae"/>
        <w:jc w:val="center"/>
        <w:rPr>
          <w:rFonts w:ascii="Arial" w:hAnsi="Arial" w:cs="Arial"/>
          <w:color w:val="auto"/>
          <w:sz w:val="20"/>
          <w:szCs w:val="20"/>
        </w:rPr>
      </w:pPr>
      <w:r w:rsidRPr="00D41737">
        <w:rPr>
          <w:rFonts w:ascii="Arial" w:hAnsi="Arial" w:cs="Arial"/>
          <w:color w:val="auto"/>
        </w:rPr>
        <w:t xml:space="preserve">Рисунок </w:t>
      </w:r>
      <w:r w:rsidR="00A04D1D" w:rsidRPr="00D41737">
        <w:rPr>
          <w:rFonts w:ascii="Arial" w:hAnsi="Arial" w:cs="Arial"/>
          <w:color w:val="auto"/>
        </w:rPr>
        <w:fldChar w:fldCharType="begin"/>
      </w:r>
      <w:r w:rsidRPr="00D41737">
        <w:rPr>
          <w:rFonts w:ascii="Arial" w:hAnsi="Arial" w:cs="Arial"/>
          <w:color w:val="auto"/>
        </w:rPr>
        <w:instrText xml:space="preserve"> SEQ Рисунок \* ARABIC </w:instrText>
      </w:r>
      <w:r w:rsidR="00A04D1D" w:rsidRPr="00D41737">
        <w:rPr>
          <w:rFonts w:ascii="Arial" w:hAnsi="Arial" w:cs="Arial"/>
          <w:color w:val="auto"/>
        </w:rPr>
        <w:fldChar w:fldCharType="separate"/>
      </w:r>
      <w:r w:rsidR="004B39D4">
        <w:rPr>
          <w:rFonts w:ascii="Arial" w:hAnsi="Arial" w:cs="Arial"/>
          <w:noProof/>
          <w:color w:val="auto"/>
        </w:rPr>
        <w:t>6</w:t>
      </w:r>
      <w:r w:rsidR="00A04D1D" w:rsidRPr="00D41737">
        <w:rPr>
          <w:rFonts w:ascii="Arial" w:hAnsi="Arial" w:cs="Arial"/>
          <w:color w:val="auto"/>
        </w:rPr>
        <w:fldChar w:fldCharType="end"/>
      </w:r>
      <w:r w:rsidRPr="00D41737">
        <w:rPr>
          <w:rFonts w:ascii="Arial" w:hAnsi="Arial" w:cs="Arial"/>
          <w:color w:val="auto"/>
        </w:rPr>
        <w:t>. Схема подключения трехфазного электросчетчика с помощью трех трансформаторов тока к трехфазной 3-х или 4-х проводной сети</w:t>
      </w:r>
    </w:p>
    <w:p w:rsidR="00B904CC" w:rsidRDefault="00B904CC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B904CC" w:rsidRDefault="00C16611" w:rsidP="00B479E5">
      <w:pPr>
        <w:keepNext/>
        <w:autoSpaceDE w:val="0"/>
        <w:autoSpaceDN w:val="0"/>
        <w:adjustRightInd w:val="0"/>
        <w:spacing w:line="360" w:lineRule="auto"/>
        <w:jc w:val="center"/>
      </w:pPr>
      <w:r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687320" cy="2313940"/>
            <wp:effectExtent l="0" t="0" r="0" b="0"/>
            <wp:docPr id="12" name="Рисунок 1" descr="Описание: http://www.udmene.ru/images/Sh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www.udmene.ru/images/Sh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231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4CC" w:rsidRPr="00576790" w:rsidRDefault="00B904CC" w:rsidP="00B479E5">
      <w:pPr>
        <w:pStyle w:val="ae"/>
        <w:jc w:val="center"/>
        <w:rPr>
          <w:rFonts w:ascii="Arial" w:hAnsi="Arial" w:cs="Arial"/>
          <w:color w:val="auto"/>
          <w:sz w:val="20"/>
          <w:szCs w:val="20"/>
        </w:rPr>
      </w:pPr>
      <w:r w:rsidRPr="00576790">
        <w:rPr>
          <w:rFonts w:ascii="Arial" w:hAnsi="Arial" w:cs="Arial"/>
          <w:color w:val="auto"/>
        </w:rPr>
        <w:t xml:space="preserve">Рисунок </w:t>
      </w:r>
      <w:r w:rsidR="00A04D1D" w:rsidRPr="00576790">
        <w:rPr>
          <w:rFonts w:ascii="Arial" w:hAnsi="Arial" w:cs="Arial"/>
          <w:color w:val="auto"/>
        </w:rPr>
        <w:fldChar w:fldCharType="begin"/>
      </w:r>
      <w:r w:rsidRPr="00576790">
        <w:rPr>
          <w:rFonts w:ascii="Arial" w:hAnsi="Arial" w:cs="Arial"/>
          <w:color w:val="auto"/>
        </w:rPr>
        <w:instrText xml:space="preserve"> SEQ Рисунок \* ARABIC </w:instrText>
      </w:r>
      <w:r w:rsidR="00A04D1D" w:rsidRPr="00576790">
        <w:rPr>
          <w:rFonts w:ascii="Arial" w:hAnsi="Arial" w:cs="Arial"/>
          <w:color w:val="auto"/>
        </w:rPr>
        <w:fldChar w:fldCharType="separate"/>
      </w:r>
      <w:r w:rsidR="004B39D4">
        <w:rPr>
          <w:rFonts w:ascii="Arial" w:hAnsi="Arial" w:cs="Arial"/>
          <w:noProof/>
          <w:color w:val="auto"/>
        </w:rPr>
        <w:t>7</w:t>
      </w:r>
      <w:r w:rsidR="00A04D1D" w:rsidRPr="00576790">
        <w:rPr>
          <w:rFonts w:ascii="Arial" w:hAnsi="Arial" w:cs="Arial"/>
          <w:color w:val="auto"/>
        </w:rPr>
        <w:fldChar w:fldCharType="end"/>
      </w:r>
      <w:r w:rsidRPr="00576790">
        <w:rPr>
          <w:rFonts w:ascii="Arial" w:hAnsi="Arial" w:cs="Arial"/>
          <w:color w:val="auto"/>
        </w:rPr>
        <w:t>. Схема подключения трехфазного электросчетчика с помощью трех трансформаторов тока и трех трансформаторов напряжения к трехфазной 3-х или 4-х проводной сети</w:t>
      </w:r>
    </w:p>
    <w:p w:rsidR="00B904CC" w:rsidRPr="0008644C" w:rsidRDefault="00B904CC" w:rsidP="00B479E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B904CC" w:rsidRPr="0008644C" w:rsidRDefault="00B904CC" w:rsidP="00B479E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8644C">
        <w:rPr>
          <w:rFonts w:ascii="Arial" w:hAnsi="Arial" w:cs="Arial"/>
          <w:b/>
          <w:sz w:val="20"/>
          <w:szCs w:val="20"/>
        </w:rPr>
        <w:t xml:space="preserve"> </w:t>
      </w:r>
    </w:p>
    <w:p w:rsidR="00DD33CF" w:rsidRPr="00B904CC" w:rsidRDefault="00DD33CF" w:rsidP="00B479E5"/>
    <w:sectPr w:rsidR="00DD33CF" w:rsidRPr="00B904CC" w:rsidSect="0007110E"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 w:code="9"/>
      <w:pgMar w:top="1383" w:right="851" w:bottom="1134" w:left="1418" w:header="42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26B" w:rsidRDefault="0037126B" w:rsidP="00805142">
      <w:pPr>
        <w:pStyle w:val="RKSTitle254127"/>
      </w:pPr>
      <w:r>
        <w:separator/>
      </w:r>
    </w:p>
  </w:endnote>
  <w:endnote w:type="continuationSeparator" w:id="0">
    <w:p w:rsidR="0037126B" w:rsidRDefault="0037126B" w:rsidP="00805142">
      <w:pPr>
        <w:pStyle w:val="RKSTitle2541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50D2C7B0-5394-4CE0-947F-1F1A3216422B}"/>
    <w:embedBold r:id="rId2" w:fontKey="{B676F238-1D65-4CB2-9B61-C193B4455DDB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9B722322-027B-4B96-B74D-C42FEC22949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4" w:fontKey="{B92AA7BD-5EEB-465A-8272-57B40F9C49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6C4" w:rsidRDefault="00D346C4" w:rsidP="0080514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346C4" w:rsidRDefault="00D346C4" w:rsidP="00805142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6C4" w:rsidRDefault="000D0BB9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83384D">
      <w:rPr>
        <w:noProof/>
      </w:rPr>
      <w:t>2</w:t>
    </w:r>
    <w:r>
      <w:rPr>
        <w:noProof/>
      </w:rPr>
      <w:fldChar w:fldCharType="end"/>
    </w:r>
  </w:p>
  <w:p w:rsidR="00D346C4" w:rsidRPr="009300FA" w:rsidRDefault="00D346C4" w:rsidP="009300FA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46C4" w:rsidRPr="005D2332" w:rsidRDefault="00D346C4" w:rsidP="005D2332">
    <w:pPr>
      <w:pStyle w:val="a4"/>
    </w:pPr>
    <w:r>
      <w:rPr>
        <w:noProof/>
        <w:lang w:eastAsia="ru-RU"/>
      </w:rPr>
      <w:drawing>
        <wp:inline distT="0" distB="0" distL="0" distR="0">
          <wp:extent cx="1741170" cy="1327785"/>
          <wp:effectExtent l="0" t="0" r="0" b="5715"/>
          <wp:docPr id="13" name="Рисунок 13" descr="ni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ni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170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26B" w:rsidRDefault="0037126B" w:rsidP="00805142">
      <w:pPr>
        <w:pStyle w:val="RKSTitle254127"/>
      </w:pPr>
      <w:r>
        <w:separator/>
      </w:r>
    </w:p>
  </w:footnote>
  <w:footnote w:type="continuationSeparator" w:id="0">
    <w:p w:rsidR="0037126B" w:rsidRDefault="0037126B" w:rsidP="00805142">
      <w:pPr>
        <w:pStyle w:val="RKSTitle25412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47" w:type="dxa"/>
      <w:tblLook w:val="01E0" w:firstRow="1" w:lastRow="1" w:firstColumn="1" w:lastColumn="1" w:noHBand="0" w:noVBand="0"/>
    </w:tblPr>
    <w:tblGrid>
      <w:gridCol w:w="3767"/>
      <w:gridCol w:w="5926"/>
    </w:tblGrid>
    <w:tr w:rsidR="00D346C4" w:rsidTr="006657EF">
      <w:tc>
        <w:tcPr>
          <w:tcW w:w="3705" w:type="dxa"/>
          <w:hideMark/>
        </w:tcPr>
        <w:p w:rsidR="00D346C4" w:rsidRDefault="00D346C4" w:rsidP="006657EF">
          <w:pPr>
            <w:pStyle w:val="Arial8RGB0"/>
            <w:tabs>
              <w:tab w:val="left" w:pos="2793"/>
            </w:tabs>
            <w:ind w:left="0" w:right="-331"/>
            <w:rPr>
              <w:lang w:val="en-US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339725</wp:posOffset>
                </wp:positionV>
                <wp:extent cx="2356485" cy="873760"/>
                <wp:effectExtent l="0" t="0" r="0" b="0"/>
                <wp:wrapNone/>
                <wp:docPr id="154" name="Рисунок 154" descr="Воэ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" descr="Воэк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6485" cy="873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8A3E1A">
            <w:rPr>
              <w:noProof/>
              <w:lang w:eastAsia="ru-RU"/>
            </w:rPr>
            <mc:AlternateContent>
              <mc:Choice Requires="wpc">
                <w:drawing>
                  <wp:inline distT="0" distB="0" distL="0" distR="0">
                    <wp:extent cx="2465070" cy="1213485"/>
                    <wp:effectExtent l="0" t="0" r="0" b="0"/>
                    <wp:docPr id="1" name="Полотно 1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Полотно 152" o:spid="_x0000_s1026" editas="canvas" style="width:194.1pt;height:95.55pt;mso-position-horizontal-relative:char;mso-position-vertical-relative:line" coordsize="24650,12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ANEkMt3QAAAAUBAAAPAAAAAAAAAAAAAAAAAGMDAABkcnMvZG93&#10;bnJldi54bWxQSwUGAAAAAAQABADzAAAAbQQ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24650;height:12134;visibility:visible;mso-wrap-style:square">
                      <v:fill o:detectmouseclick="t"/>
                      <v:path o:connecttype="none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5926" w:type="dxa"/>
        </w:tcPr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</w:tc>
    </w:tr>
  </w:tbl>
  <w:p w:rsidR="00D346C4" w:rsidRPr="009300FA" w:rsidRDefault="00D346C4" w:rsidP="009300F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47" w:type="dxa"/>
      <w:tblLook w:val="01E0" w:firstRow="1" w:lastRow="1" w:firstColumn="1" w:lastColumn="1" w:noHBand="0" w:noVBand="0"/>
    </w:tblPr>
    <w:tblGrid>
      <w:gridCol w:w="3705"/>
      <w:gridCol w:w="5926"/>
    </w:tblGrid>
    <w:tr w:rsidR="00D346C4" w:rsidRPr="0007110E" w:rsidTr="006657EF">
      <w:tc>
        <w:tcPr>
          <w:tcW w:w="3705" w:type="dxa"/>
          <w:hideMark/>
        </w:tcPr>
        <w:p w:rsidR="00D346C4" w:rsidRDefault="00D346C4" w:rsidP="006657EF">
          <w:pPr>
            <w:pStyle w:val="Arial8RGB0"/>
            <w:tabs>
              <w:tab w:val="left" w:pos="2793"/>
            </w:tabs>
            <w:ind w:left="0" w:right="-331"/>
            <w:rPr>
              <w:lang w:val="en-US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339725</wp:posOffset>
                </wp:positionV>
                <wp:extent cx="2356485" cy="873760"/>
                <wp:effectExtent l="0" t="0" r="0" b="0"/>
                <wp:wrapNone/>
                <wp:docPr id="151" name="Рисунок 151" descr="Воэ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1" descr="Воэк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56485" cy="873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926" w:type="dxa"/>
        </w:tcPr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</w:rPr>
          </w:pPr>
        </w:p>
        <w:p w:rsidR="00D346C4" w:rsidRPr="0007110E" w:rsidRDefault="00D346C4" w:rsidP="006657EF">
          <w:pPr>
            <w:pStyle w:val="a7"/>
            <w:ind w:left="69"/>
            <w:rPr>
              <w:rFonts w:ascii="Arial" w:hAnsi="Arial"/>
              <w:color w:val="004C84"/>
              <w:sz w:val="16"/>
              <w:lang w:val="en-US"/>
            </w:rPr>
          </w:pPr>
        </w:p>
      </w:tc>
    </w:tr>
  </w:tbl>
  <w:p w:rsidR="00D346C4" w:rsidRPr="0007110E" w:rsidRDefault="00D346C4" w:rsidP="009300FA">
    <w:pPr>
      <w:pStyle w:val="a7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1E42"/>
    <w:multiLevelType w:val="multilevel"/>
    <w:tmpl w:val="34A06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0C32147C"/>
    <w:multiLevelType w:val="hybridMultilevel"/>
    <w:tmpl w:val="02F0EED2"/>
    <w:lvl w:ilvl="0" w:tplc="61461482">
      <w:start w:val="1"/>
      <w:numFmt w:val="decimal"/>
      <w:lvlText w:val="%1."/>
      <w:lvlJc w:val="left"/>
      <w:pPr>
        <w:tabs>
          <w:tab w:val="num" w:pos="555"/>
        </w:tabs>
        <w:ind w:left="5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EC6615"/>
    <w:multiLevelType w:val="multilevel"/>
    <w:tmpl w:val="A0BA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0DF53274"/>
    <w:multiLevelType w:val="hybridMultilevel"/>
    <w:tmpl w:val="7BAE6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57FFC"/>
    <w:multiLevelType w:val="hybridMultilevel"/>
    <w:tmpl w:val="954E59AA"/>
    <w:lvl w:ilvl="0" w:tplc="1D12BE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6C7196"/>
    <w:multiLevelType w:val="hybridMultilevel"/>
    <w:tmpl w:val="A3AC74C4"/>
    <w:lvl w:ilvl="0" w:tplc="F04677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F1F18A5"/>
    <w:multiLevelType w:val="hybridMultilevel"/>
    <w:tmpl w:val="4F4CA374"/>
    <w:lvl w:ilvl="0" w:tplc="8B28EA04">
      <w:start w:val="1"/>
      <w:numFmt w:val="decimal"/>
      <w:lvlText w:val="%1."/>
      <w:lvlJc w:val="left"/>
      <w:pPr>
        <w:ind w:left="1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1" w:hanging="360"/>
      </w:pPr>
    </w:lvl>
    <w:lvl w:ilvl="2" w:tplc="0419001B" w:tentative="1">
      <w:start w:val="1"/>
      <w:numFmt w:val="lowerRoman"/>
      <w:lvlText w:val="%3."/>
      <w:lvlJc w:val="right"/>
      <w:pPr>
        <w:ind w:left="3051" w:hanging="180"/>
      </w:pPr>
    </w:lvl>
    <w:lvl w:ilvl="3" w:tplc="0419000F" w:tentative="1">
      <w:start w:val="1"/>
      <w:numFmt w:val="decimal"/>
      <w:lvlText w:val="%4."/>
      <w:lvlJc w:val="left"/>
      <w:pPr>
        <w:ind w:left="3771" w:hanging="360"/>
      </w:pPr>
    </w:lvl>
    <w:lvl w:ilvl="4" w:tplc="04190019" w:tentative="1">
      <w:start w:val="1"/>
      <w:numFmt w:val="lowerLetter"/>
      <w:lvlText w:val="%5."/>
      <w:lvlJc w:val="left"/>
      <w:pPr>
        <w:ind w:left="4491" w:hanging="360"/>
      </w:pPr>
    </w:lvl>
    <w:lvl w:ilvl="5" w:tplc="0419001B" w:tentative="1">
      <w:start w:val="1"/>
      <w:numFmt w:val="lowerRoman"/>
      <w:lvlText w:val="%6."/>
      <w:lvlJc w:val="right"/>
      <w:pPr>
        <w:ind w:left="5211" w:hanging="180"/>
      </w:pPr>
    </w:lvl>
    <w:lvl w:ilvl="6" w:tplc="0419000F" w:tentative="1">
      <w:start w:val="1"/>
      <w:numFmt w:val="decimal"/>
      <w:lvlText w:val="%7."/>
      <w:lvlJc w:val="left"/>
      <w:pPr>
        <w:ind w:left="5931" w:hanging="360"/>
      </w:pPr>
    </w:lvl>
    <w:lvl w:ilvl="7" w:tplc="04190019" w:tentative="1">
      <w:start w:val="1"/>
      <w:numFmt w:val="lowerLetter"/>
      <w:lvlText w:val="%8."/>
      <w:lvlJc w:val="left"/>
      <w:pPr>
        <w:ind w:left="6651" w:hanging="360"/>
      </w:pPr>
    </w:lvl>
    <w:lvl w:ilvl="8" w:tplc="0419001B" w:tentative="1">
      <w:start w:val="1"/>
      <w:numFmt w:val="lowerRoman"/>
      <w:lvlText w:val="%9."/>
      <w:lvlJc w:val="right"/>
      <w:pPr>
        <w:ind w:left="7371" w:hanging="180"/>
      </w:pPr>
    </w:lvl>
  </w:abstractNum>
  <w:abstractNum w:abstractNumId="7">
    <w:nsid w:val="50E400F2"/>
    <w:multiLevelType w:val="multilevel"/>
    <w:tmpl w:val="C1A08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5A0336"/>
    <w:multiLevelType w:val="hybridMultilevel"/>
    <w:tmpl w:val="527CE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22"/>
    <w:rsid w:val="00020DC1"/>
    <w:rsid w:val="000215CF"/>
    <w:rsid w:val="00025CB9"/>
    <w:rsid w:val="00034921"/>
    <w:rsid w:val="00056F0B"/>
    <w:rsid w:val="0007110E"/>
    <w:rsid w:val="00083C61"/>
    <w:rsid w:val="0009678E"/>
    <w:rsid w:val="00096CBD"/>
    <w:rsid w:val="000D0BB9"/>
    <w:rsid w:val="000F0907"/>
    <w:rsid w:val="000F3C6E"/>
    <w:rsid w:val="00143BDA"/>
    <w:rsid w:val="00147638"/>
    <w:rsid w:val="0017344F"/>
    <w:rsid w:val="0019056F"/>
    <w:rsid w:val="001943C6"/>
    <w:rsid w:val="001A0145"/>
    <w:rsid w:val="001B1717"/>
    <w:rsid w:val="001D4FF1"/>
    <w:rsid w:val="001F5762"/>
    <w:rsid w:val="00211DA5"/>
    <w:rsid w:val="0023002B"/>
    <w:rsid w:val="002319CC"/>
    <w:rsid w:val="00237B2A"/>
    <w:rsid w:val="00237D99"/>
    <w:rsid w:val="002411A7"/>
    <w:rsid w:val="00246324"/>
    <w:rsid w:val="0025231C"/>
    <w:rsid w:val="00255F57"/>
    <w:rsid w:val="00274367"/>
    <w:rsid w:val="002774F5"/>
    <w:rsid w:val="00297E35"/>
    <w:rsid w:val="002C133D"/>
    <w:rsid w:val="002C2003"/>
    <w:rsid w:val="002E1531"/>
    <w:rsid w:val="002E2D45"/>
    <w:rsid w:val="002E75E9"/>
    <w:rsid w:val="002F6A97"/>
    <w:rsid w:val="003014BD"/>
    <w:rsid w:val="00314B4A"/>
    <w:rsid w:val="00336B53"/>
    <w:rsid w:val="0036383A"/>
    <w:rsid w:val="00364E0C"/>
    <w:rsid w:val="0037126B"/>
    <w:rsid w:val="00376687"/>
    <w:rsid w:val="003840AC"/>
    <w:rsid w:val="003A373C"/>
    <w:rsid w:val="003A4D91"/>
    <w:rsid w:val="003C4A0E"/>
    <w:rsid w:val="003D203F"/>
    <w:rsid w:val="003F0CFE"/>
    <w:rsid w:val="00400024"/>
    <w:rsid w:val="00403461"/>
    <w:rsid w:val="00411BDF"/>
    <w:rsid w:val="00412A4F"/>
    <w:rsid w:val="00412C22"/>
    <w:rsid w:val="00413128"/>
    <w:rsid w:val="00425521"/>
    <w:rsid w:val="00456A50"/>
    <w:rsid w:val="0045767A"/>
    <w:rsid w:val="00480ED3"/>
    <w:rsid w:val="004918EA"/>
    <w:rsid w:val="004B0FD3"/>
    <w:rsid w:val="004B39D4"/>
    <w:rsid w:val="004C11E8"/>
    <w:rsid w:val="004C1776"/>
    <w:rsid w:val="004C2B63"/>
    <w:rsid w:val="00506601"/>
    <w:rsid w:val="0052120E"/>
    <w:rsid w:val="00523443"/>
    <w:rsid w:val="00555932"/>
    <w:rsid w:val="00587339"/>
    <w:rsid w:val="005A048F"/>
    <w:rsid w:val="005A32B8"/>
    <w:rsid w:val="005B6FCC"/>
    <w:rsid w:val="005C75A6"/>
    <w:rsid w:val="005D2332"/>
    <w:rsid w:val="005D6BF4"/>
    <w:rsid w:val="005E6B29"/>
    <w:rsid w:val="005F1E82"/>
    <w:rsid w:val="00654F11"/>
    <w:rsid w:val="0066134A"/>
    <w:rsid w:val="006657EF"/>
    <w:rsid w:val="00665979"/>
    <w:rsid w:val="00672479"/>
    <w:rsid w:val="0067381F"/>
    <w:rsid w:val="00687385"/>
    <w:rsid w:val="00693F1C"/>
    <w:rsid w:val="0069580F"/>
    <w:rsid w:val="006A4419"/>
    <w:rsid w:val="006C5EED"/>
    <w:rsid w:val="006E699E"/>
    <w:rsid w:val="0072286E"/>
    <w:rsid w:val="007337DC"/>
    <w:rsid w:val="00735846"/>
    <w:rsid w:val="00735B8E"/>
    <w:rsid w:val="00754387"/>
    <w:rsid w:val="00791862"/>
    <w:rsid w:val="00791E90"/>
    <w:rsid w:val="0079507C"/>
    <w:rsid w:val="00796674"/>
    <w:rsid w:val="007B5615"/>
    <w:rsid w:val="007F2E92"/>
    <w:rsid w:val="00805142"/>
    <w:rsid w:val="00805AE4"/>
    <w:rsid w:val="008136CF"/>
    <w:rsid w:val="0083384D"/>
    <w:rsid w:val="00855780"/>
    <w:rsid w:val="00856E65"/>
    <w:rsid w:val="008620C0"/>
    <w:rsid w:val="00863278"/>
    <w:rsid w:val="008823C2"/>
    <w:rsid w:val="0089323E"/>
    <w:rsid w:val="008A3168"/>
    <w:rsid w:val="008A3E1A"/>
    <w:rsid w:val="008A7261"/>
    <w:rsid w:val="008C0941"/>
    <w:rsid w:val="008D3CF3"/>
    <w:rsid w:val="008D5931"/>
    <w:rsid w:val="008D606C"/>
    <w:rsid w:val="008E2292"/>
    <w:rsid w:val="008F65C8"/>
    <w:rsid w:val="008F7190"/>
    <w:rsid w:val="00904020"/>
    <w:rsid w:val="009135CE"/>
    <w:rsid w:val="009300FA"/>
    <w:rsid w:val="00933293"/>
    <w:rsid w:val="0093554D"/>
    <w:rsid w:val="009405E7"/>
    <w:rsid w:val="00956E18"/>
    <w:rsid w:val="009749E8"/>
    <w:rsid w:val="00982ABE"/>
    <w:rsid w:val="00985699"/>
    <w:rsid w:val="009C6924"/>
    <w:rsid w:val="009D15C9"/>
    <w:rsid w:val="009F0A6D"/>
    <w:rsid w:val="009F0B53"/>
    <w:rsid w:val="00A04D1D"/>
    <w:rsid w:val="00A0535C"/>
    <w:rsid w:val="00A106D4"/>
    <w:rsid w:val="00A2113C"/>
    <w:rsid w:val="00A253E6"/>
    <w:rsid w:val="00A33F0A"/>
    <w:rsid w:val="00A37A5D"/>
    <w:rsid w:val="00A51CD9"/>
    <w:rsid w:val="00A5554C"/>
    <w:rsid w:val="00A6161F"/>
    <w:rsid w:val="00A63C5F"/>
    <w:rsid w:val="00A70873"/>
    <w:rsid w:val="00A7741D"/>
    <w:rsid w:val="00A80D73"/>
    <w:rsid w:val="00A902E6"/>
    <w:rsid w:val="00A9508C"/>
    <w:rsid w:val="00AB0A22"/>
    <w:rsid w:val="00AC3A27"/>
    <w:rsid w:val="00AC6C36"/>
    <w:rsid w:val="00AD45D0"/>
    <w:rsid w:val="00B0515C"/>
    <w:rsid w:val="00B113A1"/>
    <w:rsid w:val="00B201ED"/>
    <w:rsid w:val="00B247C5"/>
    <w:rsid w:val="00B31C40"/>
    <w:rsid w:val="00B46822"/>
    <w:rsid w:val="00B479E5"/>
    <w:rsid w:val="00B616C7"/>
    <w:rsid w:val="00B70056"/>
    <w:rsid w:val="00B70163"/>
    <w:rsid w:val="00B75F05"/>
    <w:rsid w:val="00B80D3E"/>
    <w:rsid w:val="00B904CC"/>
    <w:rsid w:val="00BB4E4B"/>
    <w:rsid w:val="00BB523D"/>
    <w:rsid w:val="00BC251E"/>
    <w:rsid w:val="00BD2D7A"/>
    <w:rsid w:val="00C015A5"/>
    <w:rsid w:val="00C04220"/>
    <w:rsid w:val="00C070B6"/>
    <w:rsid w:val="00C127F6"/>
    <w:rsid w:val="00C16611"/>
    <w:rsid w:val="00C57F51"/>
    <w:rsid w:val="00C8243B"/>
    <w:rsid w:val="00C830BA"/>
    <w:rsid w:val="00CA630F"/>
    <w:rsid w:val="00CB5F3E"/>
    <w:rsid w:val="00CC2FF9"/>
    <w:rsid w:val="00CD7559"/>
    <w:rsid w:val="00CE3BAA"/>
    <w:rsid w:val="00CE5752"/>
    <w:rsid w:val="00CF1DDC"/>
    <w:rsid w:val="00D164BA"/>
    <w:rsid w:val="00D346C4"/>
    <w:rsid w:val="00D37082"/>
    <w:rsid w:val="00D466C7"/>
    <w:rsid w:val="00D5243A"/>
    <w:rsid w:val="00D629C5"/>
    <w:rsid w:val="00D80653"/>
    <w:rsid w:val="00D8075C"/>
    <w:rsid w:val="00DC2E58"/>
    <w:rsid w:val="00DD33CF"/>
    <w:rsid w:val="00DD66C5"/>
    <w:rsid w:val="00DE239C"/>
    <w:rsid w:val="00DE5823"/>
    <w:rsid w:val="00DE79F5"/>
    <w:rsid w:val="00E12114"/>
    <w:rsid w:val="00E14060"/>
    <w:rsid w:val="00E147D0"/>
    <w:rsid w:val="00E242D4"/>
    <w:rsid w:val="00E37FF9"/>
    <w:rsid w:val="00E43398"/>
    <w:rsid w:val="00E4529A"/>
    <w:rsid w:val="00E5665F"/>
    <w:rsid w:val="00E65685"/>
    <w:rsid w:val="00E701B2"/>
    <w:rsid w:val="00E91217"/>
    <w:rsid w:val="00E97755"/>
    <w:rsid w:val="00EC4EB1"/>
    <w:rsid w:val="00ED520A"/>
    <w:rsid w:val="00EE376D"/>
    <w:rsid w:val="00F030DD"/>
    <w:rsid w:val="00F05B51"/>
    <w:rsid w:val="00F12028"/>
    <w:rsid w:val="00F20273"/>
    <w:rsid w:val="00F37BF6"/>
    <w:rsid w:val="00F41486"/>
    <w:rsid w:val="00F41B1E"/>
    <w:rsid w:val="00F50689"/>
    <w:rsid w:val="00F62A3F"/>
    <w:rsid w:val="00F73AE7"/>
    <w:rsid w:val="00F94EA4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44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KSStyle">
    <w:name w:val="RKS_Style"/>
    <w:basedOn w:val="a"/>
    <w:rsid w:val="008571CB"/>
    <w:pPr>
      <w:ind w:left="1361"/>
    </w:pPr>
    <w:rPr>
      <w:rFonts w:ascii="Arial" w:hAnsi="Arial"/>
      <w:sz w:val="20"/>
    </w:rPr>
  </w:style>
  <w:style w:type="paragraph" w:customStyle="1" w:styleId="RKSTitle">
    <w:name w:val="RKS_Title"/>
    <w:basedOn w:val="a"/>
    <w:rsid w:val="001B6424"/>
    <w:rPr>
      <w:rFonts w:ascii="Arial" w:hAnsi="Arial"/>
      <w:b/>
    </w:rPr>
  </w:style>
  <w:style w:type="paragraph" w:customStyle="1" w:styleId="-">
    <w:name w:val="РКС-верх"/>
    <w:basedOn w:val="a"/>
    <w:rsid w:val="00CF59BA"/>
    <w:pPr>
      <w:ind w:left="4423"/>
    </w:pPr>
    <w:rPr>
      <w:rFonts w:ascii="Arial" w:hAnsi="Arial"/>
      <w:sz w:val="16"/>
    </w:rPr>
  </w:style>
  <w:style w:type="paragraph" w:customStyle="1" w:styleId="Arial8RGB0">
    <w:name w:val="Стиль Arial 8 пт Другой цвет (RGB(0"/>
    <w:aliases w:val="76,132))"/>
    <w:basedOn w:val="a"/>
    <w:rsid w:val="00CF59BA"/>
    <w:pPr>
      <w:ind w:left="4423"/>
    </w:pPr>
    <w:rPr>
      <w:rFonts w:ascii="Arial" w:hAnsi="Arial"/>
      <w:color w:val="004C84"/>
      <w:sz w:val="16"/>
    </w:rPr>
  </w:style>
  <w:style w:type="paragraph" w:customStyle="1" w:styleId="RKSTitle254127">
    <w:name w:val="Стиль RKS_Title + Слева:  254 см Первая строка:  127 см"/>
    <w:basedOn w:val="RKSTitle"/>
    <w:rsid w:val="00CF59BA"/>
    <w:pPr>
      <w:ind w:left="4423"/>
    </w:pPr>
    <w:rPr>
      <w:bCs/>
      <w:szCs w:val="20"/>
    </w:rPr>
  </w:style>
  <w:style w:type="paragraph" w:styleId="a4">
    <w:name w:val="footer"/>
    <w:basedOn w:val="a"/>
    <w:link w:val="a5"/>
    <w:uiPriority w:val="99"/>
    <w:rsid w:val="000E1E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E1EF1"/>
  </w:style>
  <w:style w:type="paragraph" w:styleId="a7">
    <w:name w:val="header"/>
    <w:basedOn w:val="a"/>
    <w:link w:val="a8"/>
    <w:rsid w:val="00237D99"/>
    <w:pPr>
      <w:tabs>
        <w:tab w:val="center" w:pos="4677"/>
        <w:tab w:val="right" w:pos="9355"/>
      </w:tabs>
    </w:pPr>
  </w:style>
  <w:style w:type="character" w:styleId="a9">
    <w:name w:val="Hyperlink"/>
    <w:rsid w:val="008F7190"/>
    <w:rPr>
      <w:color w:val="0000FF"/>
      <w:u w:val="single"/>
    </w:rPr>
  </w:style>
  <w:style w:type="paragraph" w:customStyle="1" w:styleId="aa">
    <w:name w:val="Тема письма"/>
    <w:basedOn w:val="a"/>
    <w:rsid w:val="00B46822"/>
    <w:pPr>
      <w:tabs>
        <w:tab w:val="left" w:pos="4446"/>
      </w:tabs>
      <w:ind w:left="399" w:firstLine="342"/>
    </w:pPr>
    <w:rPr>
      <w:rFonts w:ascii="Arial" w:hAnsi="Arial" w:cs="Arial"/>
      <w:b/>
      <w:sz w:val="20"/>
      <w:szCs w:val="20"/>
    </w:rPr>
  </w:style>
  <w:style w:type="paragraph" w:customStyle="1" w:styleId="ab">
    <w:name w:val="Текст письма"/>
    <w:basedOn w:val="a"/>
    <w:rsid w:val="00B46822"/>
    <w:pPr>
      <w:spacing w:line="360" w:lineRule="auto"/>
      <w:ind w:left="741" w:firstLine="510"/>
      <w:jc w:val="both"/>
    </w:pPr>
    <w:rPr>
      <w:rFonts w:ascii="Arial" w:hAnsi="Arial" w:cs="Arial"/>
      <w:sz w:val="20"/>
      <w:szCs w:val="20"/>
    </w:rPr>
  </w:style>
  <w:style w:type="paragraph" w:customStyle="1" w:styleId="ac">
    <w:name w:val="Обращение"/>
    <w:basedOn w:val="RKSTitle254127"/>
    <w:rsid w:val="00B46822"/>
    <w:pPr>
      <w:spacing w:before="360" w:after="360"/>
      <w:ind w:left="4445"/>
    </w:pPr>
    <w:rPr>
      <w:rFonts w:cs="Arial"/>
      <w:b w:val="0"/>
      <w:sz w:val="20"/>
    </w:rPr>
  </w:style>
  <w:style w:type="character" w:customStyle="1" w:styleId="a8">
    <w:name w:val="Верхний колонтитул Знак"/>
    <w:link w:val="a7"/>
    <w:rsid w:val="009300FA"/>
    <w:rPr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B904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e">
    <w:name w:val="caption"/>
    <w:basedOn w:val="a"/>
    <w:next w:val="a"/>
    <w:uiPriority w:val="35"/>
    <w:unhideWhenUsed/>
    <w:qFormat/>
    <w:rsid w:val="00B904CC"/>
    <w:pPr>
      <w:spacing w:after="200"/>
    </w:pPr>
    <w:rPr>
      <w:rFonts w:ascii="Calibri" w:eastAsia="Calibri" w:hAnsi="Calibri"/>
      <w:b/>
      <w:bCs/>
      <w:color w:val="4F81BD"/>
      <w:sz w:val="18"/>
      <w:szCs w:val="18"/>
    </w:rPr>
  </w:style>
  <w:style w:type="paragraph" w:styleId="af">
    <w:name w:val="No Spacing"/>
    <w:link w:val="af0"/>
    <w:uiPriority w:val="1"/>
    <w:qFormat/>
    <w:rsid w:val="00555932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rsid w:val="00555932"/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rsid w:val="0055593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55932"/>
    <w:rPr>
      <w:rFonts w:ascii="Tahoma" w:hAnsi="Tahoma" w:cs="Tahoma"/>
      <w:sz w:val="16"/>
      <w:szCs w:val="16"/>
      <w:lang w:eastAsia="en-US"/>
    </w:rPr>
  </w:style>
  <w:style w:type="character" w:customStyle="1" w:styleId="a5">
    <w:name w:val="Нижний колонтитул Знак"/>
    <w:link w:val="a4"/>
    <w:uiPriority w:val="99"/>
    <w:rsid w:val="00555932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344F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KSStyle">
    <w:name w:val="RKS_Style"/>
    <w:basedOn w:val="a"/>
    <w:rsid w:val="008571CB"/>
    <w:pPr>
      <w:ind w:left="1361"/>
    </w:pPr>
    <w:rPr>
      <w:rFonts w:ascii="Arial" w:hAnsi="Arial"/>
      <w:sz w:val="20"/>
    </w:rPr>
  </w:style>
  <w:style w:type="paragraph" w:customStyle="1" w:styleId="RKSTitle">
    <w:name w:val="RKS_Title"/>
    <w:basedOn w:val="a"/>
    <w:rsid w:val="001B6424"/>
    <w:rPr>
      <w:rFonts w:ascii="Arial" w:hAnsi="Arial"/>
      <w:b/>
    </w:rPr>
  </w:style>
  <w:style w:type="paragraph" w:customStyle="1" w:styleId="-">
    <w:name w:val="РКС-верх"/>
    <w:basedOn w:val="a"/>
    <w:rsid w:val="00CF59BA"/>
    <w:pPr>
      <w:ind w:left="4423"/>
    </w:pPr>
    <w:rPr>
      <w:rFonts w:ascii="Arial" w:hAnsi="Arial"/>
      <w:sz w:val="16"/>
    </w:rPr>
  </w:style>
  <w:style w:type="paragraph" w:customStyle="1" w:styleId="Arial8RGB0">
    <w:name w:val="Стиль Arial 8 пт Другой цвет (RGB(0"/>
    <w:aliases w:val="76,132))"/>
    <w:basedOn w:val="a"/>
    <w:rsid w:val="00CF59BA"/>
    <w:pPr>
      <w:ind w:left="4423"/>
    </w:pPr>
    <w:rPr>
      <w:rFonts w:ascii="Arial" w:hAnsi="Arial"/>
      <w:color w:val="004C84"/>
      <w:sz w:val="16"/>
    </w:rPr>
  </w:style>
  <w:style w:type="paragraph" w:customStyle="1" w:styleId="RKSTitle254127">
    <w:name w:val="Стиль RKS_Title + Слева:  254 см Первая строка:  127 см"/>
    <w:basedOn w:val="RKSTitle"/>
    <w:rsid w:val="00CF59BA"/>
    <w:pPr>
      <w:ind w:left="4423"/>
    </w:pPr>
    <w:rPr>
      <w:bCs/>
      <w:szCs w:val="20"/>
    </w:rPr>
  </w:style>
  <w:style w:type="paragraph" w:styleId="a4">
    <w:name w:val="footer"/>
    <w:basedOn w:val="a"/>
    <w:link w:val="a5"/>
    <w:uiPriority w:val="99"/>
    <w:rsid w:val="000E1EF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E1EF1"/>
  </w:style>
  <w:style w:type="paragraph" w:styleId="a7">
    <w:name w:val="header"/>
    <w:basedOn w:val="a"/>
    <w:link w:val="a8"/>
    <w:rsid w:val="00237D99"/>
    <w:pPr>
      <w:tabs>
        <w:tab w:val="center" w:pos="4677"/>
        <w:tab w:val="right" w:pos="9355"/>
      </w:tabs>
    </w:pPr>
  </w:style>
  <w:style w:type="character" w:styleId="a9">
    <w:name w:val="Hyperlink"/>
    <w:rsid w:val="008F7190"/>
    <w:rPr>
      <w:color w:val="0000FF"/>
      <w:u w:val="single"/>
    </w:rPr>
  </w:style>
  <w:style w:type="paragraph" w:customStyle="1" w:styleId="aa">
    <w:name w:val="Тема письма"/>
    <w:basedOn w:val="a"/>
    <w:rsid w:val="00B46822"/>
    <w:pPr>
      <w:tabs>
        <w:tab w:val="left" w:pos="4446"/>
      </w:tabs>
      <w:ind w:left="399" w:firstLine="342"/>
    </w:pPr>
    <w:rPr>
      <w:rFonts w:ascii="Arial" w:hAnsi="Arial" w:cs="Arial"/>
      <w:b/>
      <w:sz w:val="20"/>
      <w:szCs w:val="20"/>
    </w:rPr>
  </w:style>
  <w:style w:type="paragraph" w:customStyle="1" w:styleId="ab">
    <w:name w:val="Текст письма"/>
    <w:basedOn w:val="a"/>
    <w:rsid w:val="00B46822"/>
    <w:pPr>
      <w:spacing w:line="360" w:lineRule="auto"/>
      <w:ind w:left="741" w:firstLine="510"/>
      <w:jc w:val="both"/>
    </w:pPr>
    <w:rPr>
      <w:rFonts w:ascii="Arial" w:hAnsi="Arial" w:cs="Arial"/>
      <w:sz w:val="20"/>
      <w:szCs w:val="20"/>
    </w:rPr>
  </w:style>
  <w:style w:type="paragraph" w:customStyle="1" w:styleId="ac">
    <w:name w:val="Обращение"/>
    <w:basedOn w:val="RKSTitle254127"/>
    <w:rsid w:val="00B46822"/>
    <w:pPr>
      <w:spacing w:before="360" w:after="360"/>
      <w:ind w:left="4445"/>
    </w:pPr>
    <w:rPr>
      <w:rFonts w:cs="Arial"/>
      <w:b w:val="0"/>
      <w:sz w:val="20"/>
    </w:rPr>
  </w:style>
  <w:style w:type="character" w:customStyle="1" w:styleId="a8">
    <w:name w:val="Верхний колонтитул Знак"/>
    <w:link w:val="a7"/>
    <w:rsid w:val="009300FA"/>
    <w:rPr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B904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e">
    <w:name w:val="caption"/>
    <w:basedOn w:val="a"/>
    <w:next w:val="a"/>
    <w:uiPriority w:val="35"/>
    <w:unhideWhenUsed/>
    <w:qFormat/>
    <w:rsid w:val="00B904CC"/>
    <w:pPr>
      <w:spacing w:after="200"/>
    </w:pPr>
    <w:rPr>
      <w:rFonts w:ascii="Calibri" w:eastAsia="Calibri" w:hAnsi="Calibri"/>
      <w:b/>
      <w:bCs/>
      <w:color w:val="4F81BD"/>
      <w:sz w:val="18"/>
      <w:szCs w:val="18"/>
    </w:rPr>
  </w:style>
  <w:style w:type="paragraph" w:styleId="af">
    <w:name w:val="No Spacing"/>
    <w:link w:val="af0"/>
    <w:uiPriority w:val="1"/>
    <w:qFormat/>
    <w:rsid w:val="00555932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rsid w:val="00555932"/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rsid w:val="0055593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555932"/>
    <w:rPr>
      <w:rFonts w:ascii="Tahoma" w:hAnsi="Tahoma" w:cs="Tahoma"/>
      <w:sz w:val="16"/>
      <w:szCs w:val="16"/>
      <w:lang w:eastAsia="en-US"/>
    </w:rPr>
  </w:style>
  <w:style w:type="character" w:customStyle="1" w:styleId="a5">
    <w:name w:val="Нижний колонтитул Знак"/>
    <w:link w:val="a4"/>
    <w:uiPriority w:val="99"/>
    <w:rsid w:val="0055593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3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ents.mrsksevzap.ru/norm_docs_ychet" TargetMode="External"/><Relationship Id="rId13" Type="http://schemas.openxmlformats.org/officeDocument/2006/relationships/image" Target="media/image2.emf"/><Relationship Id="rId18" Type="http://schemas.openxmlformats.org/officeDocument/2006/relationships/oleObject" Target="embeddings/_________Microsoft_Visio_2003_201044.vsd"/><Relationship Id="rId26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image" Target="media/image6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oleObject" Target="embeddings/_________Microsoft_Visio_2003_201011.vsd"/><Relationship Id="rId17" Type="http://schemas.openxmlformats.org/officeDocument/2006/relationships/image" Target="media/image4.emf"/><Relationship Id="rId25" Type="http://schemas.openxmlformats.org/officeDocument/2006/relationships/oleObject" Target="embeddings/oleObject3.bin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_________Microsoft_Visio_2003_201033.vsd"/><Relationship Id="rId20" Type="http://schemas.openxmlformats.org/officeDocument/2006/relationships/oleObject" Target="embeddings/oleObject1.bin"/><Relationship Id="rId29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8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oleObject" Target="embeddings/oleObject2.bin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hyperlink" Target="http://clients.mrsksevzap.ru/norm_docs_ychet" TargetMode="External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clients.mrsksevzap.ru/norm_docs_ychet" TargetMode="External"/><Relationship Id="rId14" Type="http://schemas.openxmlformats.org/officeDocument/2006/relationships/oleObject" Target="embeddings/_________Microsoft_Visio_2003_201022.vsd"/><Relationship Id="rId22" Type="http://schemas.openxmlformats.org/officeDocument/2006/relationships/image" Target="media/image7.png"/><Relationship Id="rId27" Type="http://schemas.openxmlformats.org/officeDocument/2006/relationships/image" Target="media/image10.jpeg"/><Relationship Id="rId30" Type="http://schemas.openxmlformats.org/officeDocument/2006/relationships/header" Target="header1.xm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per001\Desktop\&#1041;&#1051;&#1040;&#1053;&#1050;%20&#1088;&#1091;&#1089;&#1089;&#1082;&#1080;&#1081;%20&#1094;&#1074;&#1077;&#1090;&#1085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русский цветной</Template>
  <TotalTime>1</TotalTime>
  <Pages>13</Pages>
  <Words>2574</Words>
  <Characters>14675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17215</CharactersWithSpaces>
  <SharedDoc>false</SharedDoc>
  <HLinks>
    <vt:vector size="18" baseType="variant">
      <vt:variant>
        <vt:i4>2555949</vt:i4>
      </vt:variant>
      <vt:variant>
        <vt:i4>6</vt:i4>
      </vt:variant>
      <vt:variant>
        <vt:i4>0</vt:i4>
      </vt:variant>
      <vt:variant>
        <vt:i4>5</vt:i4>
      </vt:variant>
      <vt:variant>
        <vt:lpwstr>http://clients.mrsksevzap.ru/norm_docs_ychet</vt:lpwstr>
      </vt:variant>
      <vt:variant>
        <vt:lpwstr/>
      </vt:variant>
      <vt:variant>
        <vt:i4>2555949</vt:i4>
      </vt:variant>
      <vt:variant>
        <vt:i4>3</vt:i4>
      </vt:variant>
      <vt:variant>
        <vt:i4>0</vt:i4>
      </vt:variant>
      <vt:variant>
        <vt:i4>5</vt:i4>
      </vt:variant>
      <vt:variant>
        <vt:lpwstr>http://clients.mrsksevzap.ru/norm_docs_ychet</vt:lpwstr>
      </vt:variant>
      <vt:variant>
        <vt:lpwstr/>
      </vt:variant>
      <vt:variant>
        <vt:i4>2555949</vt:i4>
      </vt:variant>
      <vt:variant>
        <vt:i4>0</vt:i4>
      </vt:variant>
      <vt:variant>
        <vt:i4>0</vt:i4>
      </vt:variant>
      <vt:variant>
        <vt:i4>5</vt:i4>
      </vt:variant>
      <vt:variant>
        <vt:lpwstr>http://clients.mrsksevzap.ru/norm_docs_ychet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Привезенцева Л.Б.</cp:lastModifiedBy>
  <cp:revision>3</cp:revision>
  <cp:lastPrinted>2014-12-02T12:25:00Z</cp:lastPrinted>
  <dcterms:created xsi:type="dcterms:W3CDTF">2015-02-24T11:55:00Z</dcterms:created>
  <dcterms:modified xsi:type="dcterms:W3CDTF">2015-03-17T06:13:00Z</dcterms:modified>
</cp:coreProperties>
</file>